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B9" w:rsidRDefault="009C35B9">
      <w:pPr>
        <w:spacing w:after="0" w:line="360" w:lineRule="auto"/>
        <w:jc w:val="right"/>
        <w:rPr>
          <w:rFonts w:ascii="Arial" w:eastAsia="Times New Roman" w:hAnsi="Arial" w:cs="Arial"/>
          <w:b/>
        </w:rPr>
      </w:pPr>
    </w:p>
    <w:p w:rsidR="00DD00C1" w:rsidRPr="00D03A71" w:rsidRDefault="00D66402">
      <w:pPr>
        <w:spacing w:after="0" w:line="360" w:lineRule="auto"/>
        <w:jc w:val="right"/>
        <w:rPr>
          <w:rFonts w:ascii="Arial" w:eastAsia="Times New Roman" w:hAnsi="Arial" w:cs="Arial"/>
          <w:b/>
        </w:rPr>
      </w:pPr>
      <w:r w:rsidRPr="00D03A71">
        <w:rPr>
          <w:rFonts w:ascii="Arial" w:eastAsia="Times New Roman" w:hAnsi="Arial" w:cs="Arial"/>
          <w:b/>
        </w:rPr>
        <w:t>Załącznik nr 2</w:t>
      </w:r>
    </w:p>
    <w:p w:rsidR="00DD00C1" w:rsidRPr="00D03A71" w:rsidRDefault="00D66402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D03A71">
        <w:rPr>
          <w:rFonts w:ascii="Arial" w:eastAsia="Times New Roman" w:hAnsi="Arial" w:cs="Arial"/>
          <w:b/>
        </w:rPr>
        <w:t>KSIĘGI RACHUNKOWE PROJEKTU</w:t>
      </w:r>
    </w:p>
    <w:p w:rsidR="002B2C5A" w:rsidRPr="00D03A71" w:rsidRDefault="002B2C5A">
      <w:pPr>
        <w:spacing w:after="0" w:line="360" w:lineRule="auto"/>
        <w:jc w:val="center"/>
        <w:rPr>
          <w:rFonts w:ascii="Arial" w:eastAsia="Times New Roman" w:hAnsi="Arial" w:cs="Arial"/>
          <w:b/>
        </w:rPr>
      </w:pPr>
    </w:p>
    <w:p w:rsidR="00DD00C1" w:rsidRPr="00D03A71" w:rsidRDefault="00D66402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D03A71">
        <w:rPr>
          <w:rFonts w:ascii="Arial" w:eastAsia="Times New Roman" w:hAnsi="Arial" w:cs="Arial"/>
          <w:b/>
        </w:rPr>
        <w:t>I Dziennik</w:t>
      </w:r>
    </w:p>
    <w:p w:rsidR="00DD00C1" w:rsidRPr="00D03A71" w:rsidRDefault="00D66402" w:rsidP="00A330EE">
      <w:pPr>
        <w:spacing w:after="0" w:line="360" w:lineRule="auto"/>
        <w:jc w:val="both"/>
        <w:rPr>
          <w:rFonts w:ascii="Arial" w:eastAsia="Times New Roman" w:hAnsi="Arial" w:cs="Arial"/>
          <w:i/>
        </w:rPr>
      </w:pPr>
      <w:r w:rsidRPr="00D03A71">
        <w:rPr>
          <w:rFonts w:ascii="Arial" w:eastAsia="Times New Roman" w:hAnsi="Arial" w:cs="Arial"/>
        </w:rPr>
        <w:t xml:space="preserve">Dziennik projektu jest zabezpieczany w księgowym programie komputerowym, na zasadzie dziennika szczegółowego (częściowego) obejmującego zaksięgowane dokumenty dotyczące danego projektu. </w:t>
      </w:r>
    </w:p>
    <w:p w:rsidR="003D47A9" w:rsidRPr="00C96831" w:rsidRDefault="003D47A9" w:rsidP="003D47A9">
      <w:pPr>
        <w:spacing w:line="360" w:lineRule="auto"/>
        <w:jc w:val="both"/>
        <w:rPr>
          <w:rFonts w:ascii="Arial" w:hAnsi="Arial" w:cs="Arial"/>
        </w:rPr>
      </w:pPr>
      <w:r w:rsidRPr="00C96831">
        <w:rPr>
          <w:rFonts w:ascii="Arial" w:hAnsi="Arial" w:cs="Arial"/>
        </w:rPr>
        <w:t xml:space="preserve">Numeracja zapisów w dzienniku dot. Projektu jest prowadzona następująco: numeracja </w:t>
      </w:r>
      <w:r w:rsidRPr="00C96831">
        <w:rPr>
          <w:rFonts w:ascii="Arial" w:hAnsi="Arial" w:cs="Arial"/>
        </w:rPr>
        <w:br/>
        <w:t>w sposób ciągły i niezależny w miesiącu. Dowód księgowy jest oznakowany numerem pozycji dziennika, typem dokumentu, numerem miesiąca i roku</w:t>
      </w:r>
      <w:r>
        <w:rPr>
          <w:rFonts w:ascii="Arial" w:hAnsi="Arial" w:cs="Arial"/>
        </w:rPr>
        <w:t>:</w:t>
      </w:r>
    </w:p>
    <w:p w:rsidR="003D47A9" w:rsidRPr="00C96831" w:rsidRDefault="003D47A9" w:rsidP="003D47A9">
      <w:pPr>
        <w:spacing w:line="360" w:lineRule="auto"/>
        <w:jc w:val="both"/>
        <w:rPr>
          <w:rFonts w:ascii="Arial" w:hAnsi="Arial" w:cs="Arial"/>
          <w:b/>
        </w:rPr>
      </w:pPr>
      <w:r w:rsidRPr="00C96831">
        <w:rPr>
          <w:rFonts w:ascii="Arial" w:hAnsi="Arial" w:cs="Arial"/>
          <w:b/>
        </w:rPr>
        <w:t>Kolejny numer księgowy dokumentu/ typ dokumentu/</w:t>
      </w:r>
      <w:r>
        <w:rPr>
          <w:rFonts w:ascii="Arial" w:hAnsi="Arial" w:cs="Arial"/>
          <w:b/>
        </w:rPr>
        <w:t xml:space="preserve"> kolejny miesiąc/rok</w:t>
      </w:r>
    </w:p>
    <w:p w:rsidR="003D47A9" w:rsidRPr="00C96831" w:rsidRDefault="003D47A9" w:rsidP="003D47A9">
      <w:pPr>
        <w:spacing w:line="360" w:lineRule="auto"/>
        <w:jc w:val="both"/>
        <w:rPr>
          <w:rFonts w:ascii="Arial" w:hAnsi="Arial" w:cs="Arial"/>
        </w:rPr>
      </w:pPr>
      <w:r w:rsidRPr="00C96831">
        <w:rPr>
          <w:rFonts w:ascii="Arial" w:hAnsi="Arial" w:cs="Arial"/>
        </w:rPr>
        <w:t>Na koniec każdego miesiąca następuje odpowiednie uzgodnienie obrotów dziennika projektu z obrotami zestawienia obrotów i sald księgi głównej.</w:t>
      </w:r>
    </w:p>
    <w:p w:rsidR="003D47A9" w:rsidRPr="00C96831" w:rsidRDefault="003D47A9" w:rsidP="003D47A9">
      <w:pPr>
        <w:spacing w:line="360" w:lineRule="auto"/>
        <w:jc w:val="both"/>
        <w:rPr>
          <w:rFonts w:ascii="Arial" w:hAnsi="Arial" w:cs="Arial"/>
        </w:rPr>
      </w:pPr>
      <w:r w:rsidRPr="00C96831">
        <w:rPr>
          <w:rFonts w:ascii="Arial" w:hAnsi="Arial" w:cs="Arial"/>
        </w:rPr>
        <w:t>Ważne jest też, by numer księgowy (ewidencyjny) dokumentu, szczególnie w zakresie wydatków kwalifikowanych był konsekwentnie nadawany i przestrzegany w i</w:t>
      </w:r>
      <w:r>
        <w:rPr>
          <w:rFonts w:ascii="Arial" w:hAnsi="Arial" w:cs="Arial"/>
        </w:rPr>
        <w:t>nnych zestawieniach i raportach.</w:t>
      </w:r>
    </w:p>
    <w:p w:rsidR="003D47A9" w:rsidRDefault="003D47A9" w:rsidP="003D47A9">
      <w:pPr>
        <w:spacing w:line="360" w:lineRule="auto"/>
        <w:jc w:val="both"/>
        <w:rPr>
          <w:rFonts w:ascii="Arial" w:hAnsi="Arial" w:cs="Arial"/>
          <w:b/>
        </w:rPr>
      </w:pPr>
      <w:r w:rsidRPr="00C96831">
        <w:rPr>
          <w:rFonts w:ascii="Arial" w:hAnsi="Arial" w:cs="Arial"/>
          <w:b/>
        </w:rPr>
        <w:t>II Księga główna projektu (konta syntetyczne obsługujące projekt) i ewidencja szczegółowa</w:t>
      </w:r>
    </w:p>
    <w:p w:rsidR="003D47A9" w:rsidRDefault="003D47A9" w:rsidP="003D47A9">
      <w:pPr>
        <w:spacing w:line="360" w:lineRule="auto"/>
        <w:jc w:val="both"/>
        <w:rPr>
          <w:rFonts w:ascii="Arial" w:hAnsi="Arial" w:cs="Arial"/>
          <w:b/>
        </w:rPr>
      </w:pPr>
      <w:r w:rsidRPr="00C96831">
        <w:rPr>
          <w:rFonts w:ascii="Arial" w:hAnsi="Arial" w:cs="Arial"/>
        </w:rPr>
        <w:t>Dla wyodrębnienia wydatków projektu „</w:t>
      </w:r>
      <w:r>
        <w:rPr>
          <w:rFonts w:ascii="Arial" w:hAnsi="Arial" w:cs="Arial"/>
        </w:rPr>
        <w:t xml:space="preserve">Cyfrowa Gmina” </w:t>
      </w:r>
      <w:r w:rsidRPr="00C96831">
        <w:rPr>
          <w:rFonts w:ascii="Arial" w:hAnsi="Arial" w:cs="Arial"/>
        </w:rPr>
        <w:t>utworzono wydzielony rejestr pod nazwą:</w:t>
      </w:r>
      <w:r w:rsidRPr="00536288">
        <w:rPr>
          <w:rFonts w:ascii="Arial" w:hAnsi="Arial" w:cs="Arial"/>
          <w:b/>
        </w:rPr>
        <w:t xml:space="preserve"> </w:t>
      </w:r>
      <w:r w:rsidRPr="00066EB7">
        <w:rPr>
          <w:rFonts w:ascii="Arial" w:hAnsi="Arial" w:cs="Arial"/>
          <w:b/>
        </w:rPr>
        <w:t>Jednostka</w:t>
      </w:r>
      <w:r w:rsidRPr="00066EB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–</w:t>
      </w:r>
      <w:r w:rsidRPr="00066E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Cyfrowa gmina.</w:t>
      </w:r>
    </w:p>
    <w:p w:rsidR="003D47A9" w:rsidRDefault="003D47A9" w:rsidP="003D47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ewidencji zdarze</w:t>
      </w:r>
      <w:r w:rsidRPr="00597F6F">
        <w:rPr>
          <w:rFonts w:ascii="Arial" w:hAnsi="Arial" w:cs="Arial"/>
        </w:rPr>
        <w:t>ń</w:t>
      </w:r>
      <w:r>
        <w:rPr>
          <w:rFonts w:ascii="Arial" w:hAnsi="Arial" w:cs="Arial"/>
        </w:rPr>
        <w:t xml:space="preserve"> zaistniałych w trakcie realizacji Projektu stosuje si</w:t>
      </w:r>
      <w:r w:rsidRPr="00597F6F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odpowiednio </w:t>
      </w:r>
      <w:r w:rsidRPr="0019164D">
        <w:rPr>
          <w:rFonts w:ascii="Arial" w:hAnsi="Arial" w:cs="Arial"/>
        </w:rPr>
        <w:t>konta ujęte w planie kont Urzędu Miejskiego w Łomży przyjęty</w:t>
      </w:r>
      <w:r>
        <w:rPr>
          <w:rFonts w:ascii="Arial" w:hAnsi="Arial" w:cs="Arial"/>
        </w:rPr>
        <w:t xml:space="preserve">m Zarządzeniem Nr 113/20 z dnia     </w:t>
      </w:r>
      <w:r w:rsidR="00725380">
        <w:rPr>
          <w:rFonts w:ascii="Arial" w:hAnsi="Arial" w:cs="Arial"/>
        </w:rPr>
        <w:t xml:space="preserve">   </w:t>
      </w:r>
      <w:r w:rsidRPr="0019164D">
        <w:rPr>
          <w:rFonts w:ascii="Arial" w:hAnsi="Arial" w:cs="Arial"/>
        </w:rPr>
        <w:t>7 maja 2020 r. w sprawie wprowadzenia</w:t>
      </w:r>
      <w:r>
        <w:rPr>
          <w:rFonts w:ascii="Arial" w:hAnsi="Arial" w:cs="Arial"/>
        </w:rPr>
        <w:t xml:space="preserve"> zasad (polityki) rachunkowości, z zachowaniem odr</w:t>
      </w:r>
      <w:r w:rsidRPr="00F55707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bnej analityki stosowne do </w:t>
      </w:r>
      <w:r w:rsidRPr="00F55707">
        <w:rPr>
          <w:rFonts w:ascii="Arial" w:hAnsi="Arial" w:cs="Arial"/>
        </w:rPr>
        <w:t xml:space="preserve">bieżących potrzeb </w:t>
      </w:r>
      <w:r>
        <w:rPr>
          <w:rFonts w:ascii="Arial" w:hAnsi="Arial" w:cs="Arial"/>
        </w:rPr>
        <w:t>sprawozdawczości i kontroli.</w:t>
      </w:r>
    </w:p>
    <w:p w:rsidR="003D47A9" w:rsidRDefault="003D47A9" w:rsidP="003D47A9">
      <w:pPr>
        <w:spacing w:line="360" w:lineRule="auto"/>
        <w:jc w:val="both"/>
        <w:rPr>
          <w:rFonts w:ascii="Arial" w:hAnsi="Arial" w:cs="Arial"/>
        </w:rPr>
      </w:pPr>
      <w:r w:rsidRPr="00C96831">
        <w:rPr>
          <w:rFonts w:ascii="Arial" w:hAnsi="Arial" w:cs="Arial"/>
        </w:rPr>
        <w:t>Zasady prowadzenia ewidencji analitycznej p</w:t>
      </w:r>
      <w:r>
        <w:rPr>
          <w:rFonts w:ascii="Arial" w:hAnsi="Arial" w:cs="Arial"/>
        </w:rPr>
        <w:t>rzedstawia poniższe zestawienie:</w:t>
      </w:r>
    </w:p>
    <w:p w:rsidR="00F44157" w:rsidRPr="001040B2" w:rsidRDefault="00F44157">
      <w:pPr>
        <w:spacing w:after="0" w:line="360" w:lineRule="auto"/>
        <w:jc w:val="both"/>
        <w:rPr>
          <w:rFonts w:ascii="Arial" w:eastAsia="Times New Roman" w:hAnsi="Arial" w:cs="Arial"/>
        </w:rPr>
      </w:pPr>
    </w:p>
    <w:tbl>
      <w:tblPr>
        <w:tblW w:w="924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45"/>
        <w:gridCol w:w="1933"/>
        <w:gridCol w:w="4998"/>
      </w:tblGrid>
      <w:tr w:rsidR="00DD00C1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Lp.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Symbol konta syntetycznego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Nazwa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Opis ksiąg analitycznych (ewidencji szczegółowej) i inne uwagi</w:t>
            </w:r>
          </w:p>
        </w:tc>
      </w:tr>
      <w:tr w:rsidR="00DD00C1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1" w:rsidRPr="001040B2" w:rsidRDefault="00DD00C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D00C1" w:rsidRPr="001040B2" w:rsidRDefault="00D664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  <w:b/>
              </w:rPr>
              <w:t>3.</w:t>
            </w:r>
          </w:p>
        </w:tc>
      </w:tr>
      <w:tr w:rsidR="00ED6AF9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8B7556" w:rsidRDefault="00180C22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0000"/>
              </w:rPr>
            </w:pPr>
            <w:r w:rsidRPr="002C11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8B7556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  <w:r w:rsidRPr="002C11AF">
              <w:rPr>
                <w:rFonts w:ascii="Arial" w:eastAsia="Times New Roman" w:hAnsi="Arial" w:cs="Arial"/>
              </w:rPr>
              <w:t>011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ED6AF9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Ś</w:t>
            </w:r>
            <w:r w:rsidRPr="001040B2">
              <w:rPr>
                <w:rFonts w:ascii="Arial" w:eastAsia="Times New Roman" w:hAnsi="Arial" w:cs="Arial"/>
              </w:rPr>
              <w:t>rodki trwałe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A0A93" w:rsidRDefault="008A0A93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222F3">
              <w:rPr>
                <w:rFonts w:ascii="Arial" w:hAnsi="Arial" w:cs="Arial"/>
              </w:rPr>
              <w:t xml:space="preserve">Konto </w:t>
            </w:r>
            <w:r w:rsidRPr="00566E3B">
              <w:rPr>
                <w:rFonts w:ascii="Arial" w:hAnsi="Arial" w:cs="Arial"/>
              </w:rPr>
              <w:t>011</w:t>
            </w:r>
            <w:r>
              <w:rPr>
                <w:rFonts w:ascii="Arial" w:hAnsi="Arial" w:cs="Arial"/>
              </w:rPr>
              <w:t xml:space="preserve"> </w:t>
            </w:r>
            <w:r w:rsidRPr="00A222F3">
              <w:rPr>
                <w:rFonts w:ascii="Arial" w:hAnsi="Arial" w:cs="Arial"/>
              </w:rPr>
              <w:t>służy do</w:t>
            </w:r>
            <w:r>
              <w:rPr>
                <w:rFonts w:ascii="Arial" w:hAnsi="Arial" w:cs="Arial"/>
              </w:rPr>
              <w:t xml:space="preserve"> ewidencji stanu oraz zwiększeń </w:t>
            </w:r>
            <w:r w:rsidRPr="00A222F3">
              <w:rPr>
                <w:rFonts w:ascii="Arial" w:hAnsi="Arial" w:cs="Arial"/>
              </w:rPr>
              <w:t>i zmniejszeń wartości początkowej</w:t>
            </w:r>
            <w:r>
              <w:rPr>
                <w:rFonts w:ascii="Arial" w:hAnsi="Arial" w:cs="Arial"/>
              </w:rPr>
              <w:t xml:space="preserve"> gruntów i </w:t>
            </w:r>
            <w:r w:rsidRPr="00A222F3">
              <w:rPr>
                <w:rFonts w:ascii="Arial" w:hAnsi="Arial" w:cs="Arial"/>
              </w:rPr>
              <w:t>środków</w:t>
            </w:r>
            <w:r>
              <w:rPr>
                <w:rFonts w:ascii="Arial" w:hAnsi="Arial" w:cs="Arial"/>
              </w:rPr>
              <w:t xml:space="preserve"> trwałych, </w:t>
            </w:r>
            <w:r w:rsidRPr="00A222F3">
              <w:rPr>
                <w:rFonts w:ascii="Arial" w:hAnsi="Arial" w:cs="Arial"/>
              </w:rPr>
              <w:t xml:space="preserve">które są umarzane w czasie według stawek amortyzacyjnych </w:t>
            </w:r>
            <w:r w:rsidRPr="00A222F3">
              <w:rPr>
                <w:rFonts w:ascii="Arial" w:hAnsi="Arial" w:cs="Arial"/>
              </w:rPr>
              <w:lastRenderedPageBreak/>
              <w:t xml:space="preserve">określonych w przepisach o podatku dochodowym od osób prawnych. </w:t>
            </w:r>
          </w:p>
          <w:p w:rsidR="008A0A93" w:rsidRDefault="008A0A93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projekcie </w:t>
            </w:r>
            <w:r w:rsidR="003D47A9" w:rsidRPr="00C96831">
              <w:rPr>
                <w:rFonts w:ascii="Arial" w:hAnsi="Arial" w:cs="Arial"/>
              </w:rPr>
              <w:t>„</w:t>
            </w:r>
            <w:r w:rsidR="003D47A9">
              <w:rPr>
                <w:rFonts w:ascii="Arial" w:hAnsi="Arial" w:cs="Arial"/>
              </w:rPr>
              <w:t>Cyfrowa Gmina”</w:t>
            </w:r>
            <w:r w:rsidRPr="008A0A93">
              <w:rPr>
                <w:rFonts w:ascii="Arial" w:hAnsi="Arial" w:cs="Arial"/>
              </w:rPr>
              <w:t xml:space="preserve"> na koncie</w:t>
            </w:r>
            <w:r>
              <w:rPr>
                <w:rFonts w:ascii="Arial" w:hAnsi="Arial" w:cs="Arial"/>
              </w:rPr>
              <w:t xml:space="preserve"> 011 należ</w:t>
            </w:r>
            <w:r w:rsidR="000469C1">
              <w:rPr>
                <w:rFonts w:ascii="Arial" w:hAnsi="Arial" w:cs="Arial"/>
              </w:rPr>
              <w:t>y ujmować</w:t>
            </w:r>
            <w:r w:rsidR="007B5675">
              <w:rPr>
                <w:rFonts w:ascii="Arial" w:hAnsi="Arial" w:cs="Arial"/>
              </w:rPr>
              <w:t xml:space="preserve"> m.in.</w:t>
            </w:r>
            <w:r w:rsidR="000469C1">
              <w:rPr>
                <w:rFonts w:ascii="Arial" w:hAnsi="Arial" w:cs="Arial"/>
              </w:rPr>
              <w:t xml:space="preserve"> rozliczenie nakładów</w:t>
            </w:r>
            <w:r w:rsidR="00344750">
              <w:rPr>
                <w:rFonts w:ascii="Arial" w:hAnsi="Arial" w:cs="Arial"/>
              </w:rPr>
              <w:t xml:space="preserve"> inwestycyjnych </w:t>
            </w:r>
            <w:r>
              <w:rPr>
                <w:rFonts w:ascii="Arial" w:hAnsi="Arial" w:cs="Arial"/>
              </w:rPr>
              <w:t>poniesionych w zwi</w:t>
            </w:r>
            <w:r w:rsidRPr="007B6960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zku z </w:t>
            </w:r>
            <w:r w:rsidR="003D47A9">
              <w:rPr>
                <w:rFonts w:ascii="Arial" w:hAnsi="Arial" w:cs="Arial"/>
              </w:rPr>
              <w:t>zakupem serwera , urządzeń wielofunkcyjnych</w:t>
            </w:r>
            <w:r w:rsidR="00344750">
              <w:rPr>
                <w:rFonts w:ascii="Arial" w:hAnsi="Arial" w:cs="Arial"/>
              </w:rPr>
              <w:t xml:space="preserve"> i innych związanych z zabezpieczeniem systemów zarządzania i bezpieczeństwa informacji.  </w:t>
            </w:r>
            <w:r w:rsidR="003D47A9">
              <w:rPr>
                <w:rFonts w:ascii="Arial" w:hAnsi="Arial" w:cs="Arial"/>
              </w:rPr>
              <w:t xml:space="preserve"> </w:t>
            </w:r>
          </w:p>
          <w:p w:rsidR="00180C22" w:rsidRPr="00F44157" w:rsidRDefault="008A0A93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54EC">
              <w:rPr>
                <w:rFonts w:ascii="Arial" w:hAnsi="Arial" w:cs="Arial"/>
                <w:bCs/>
              </w:rPr>
              <w:t>Przyjęcie do eksploatacji</w:t>
            </w:r>
            <w:r w:rsidRPr="005254EC">
              <w:rPr>
                <w:rFonts w:ascii="Arial" w:hAnsi="Arial" w:cs="Arial"/>
                <w:b/>
                <w:bCs/>
              </w:rPr>
              <w:t xml:space="preserve"> </w:t>
            </w:r>
            <w:r w:rsidRPr="005254EC">
              <w:rPr>
                <w:rFonts w:ascii="Arial" w:hAnsi="Arial" w:cs="Arial"/>
              </w:rPr>
              <w:t>środków trwałych ujmowane jest po stronie WN w korespondencji z kontem 080-2.</w:t>
            </w:r>
            <w:r>
              <w:rPr>
                <w:rFonts w:ascii="Arial" w:hAnsi="Arial" w:cs="Arial"/>
              </w:rPr>
              <w:t xml:space="preserve"> </w:t>
            </w:r>
            <w:r w:rsidRPr="00A222F3">
              <w:rPr>
                <w:rFonts w:ascii="Arial" w:hAnsi="Arial" w:cs="Arial"/>
              </w:rPr>
              <w:t xml:space="preserve">Konto 011 może wykazywać saldo </w:t>
            </w:r>
            <w:proofErr w:type="spellStart"/>
            <w:r w:rsidRPr="00A222F3">
              <w:rPr>
                <w:rFonts w:ascii="Arial" w:hAnsi="Arial" w:cs="Arial"/>
              </w:rPr>
              <w:t>Wn</w:t>
            </w:r>
            <w:proofErr w:type="spellEnd"/>
            <w:r w:rsidRPr="00A222F3">
              <w:rPr>
                <w:rFonts w:ascii="Arial" w:hAnsi="Arial" w:cs="Arial"/>
              </w:rPr>
              <w:t>, które oznacza stan środków trwałych w wartości początkowej.</w:t>
            </w:r>
          </w:p>
        </w:tc>
      </w:tr>
      <w:tr w:rsidR="003D694C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94C" w:rsidRPr="001040B2" w:rsidRDefault="00180C22" w:rsidP="002B256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94C" w:rsidRDefault="003D694C" w:rsidP="002B25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013</w:t>
            </w:r>
            <w:r w:rsidR="00344750">
              <w:rPr>
                <w:rFonts w:ascii="Arial" w:eastAsia="Times New Roman" w:hAnsi="Arial" w:cs="Arial"/>
              </w:rPr>
              <w:t>-1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D694C" w:rsidRPr="0001787A" w:rsidRDefault="003D694C" w:rsidP="002B2560">
            <w:pPr>
              <w:spacing w:after="0"/>
              <w:rPr>
                <w:rFonts w:ascii="Arial" w:hAnsi="Arial" w:cs="Arial"/>
              </w:rPr>
            </w:pPr>
            <w:r w:rsidRPr="0001787A">
              <w:rPr>
                <w:rFonts w:ascii="Arial" w:hAnsi="Arial" w:cs="Arial"/>
              </w:rPr>
              <w:t>Pozostałe środki trwałe</w:t>
            </w:r>
          </w:p>
          <w:p w:rsidR="003D694C" w:rsidRPr="0001787A" w:rsidRDefault="003D694C" w:rsidP="002B256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44750" w:rsidRDefault="00BF4211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56C59">
              <w:rPr>
                <w:rFonts w:ascii="Arial" w:hAnsi="Arial" w:cs="Arial"/>
              </w:rPr>
              <w:t>Służy do ewidencji stanu oraz zwiększeń i zmniejszeń wartości początkowej środków trwałych, niepodlegających ujęciu na koncie 011</w:t>
            </w:r>
            <w:r>
              <w:rPr>
                <w:rFonts w:ascii="Arial" w:hAnsi="Arial" w:cs="Arial"/>
              </w:rPr>
              <w:t>, nabytych w ramach Projektu.</w:t>
            </w:r>
            <w:r w:rsidRPr="00A56C59">
              <w:rPr>
                <w:rFonts w:ascii="Arial" w:hAnsi="Arial" w:cs="Arial"/>
              </w:rPr>
              <w:t xml:space="preserve"> Wyposażenie o wartości jednostkowej powyżej 1 000,00 zł do 10 000,00 zł, które podlega umorzeniu w pełnej wartości w miesiącu wydania do użytkowania. </w:t>
            </w:r>
          </w:p>
          <w:p w:rsidR="00180C22" w:rsidRPr="0001787A" w:rsidRDefault="00BF4211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projekcie </w:t>
            </w:r>
            <w:r w:rsidR="00344750" w:rsidRPr="00C96831">
              <w:rPr>
                <w:rFonts w:ascii="Arial" w:hAnsi="Arial" w:cs="Arial"/>
              </w:rPr>
              <w:t>„</w:t>
            </w:r>
            <w:r w:rsidR="00344750">
              <w:rPr>
                <w:rFonts w:ascii="Arial" w:hAnsi="Arial" w:cs="Arial"/>
              </w:rPr>
              <w:t>Cyfrowa Gmina”</w:t>
            </w:r>
            <w:r w:rsidRPr="00BC2EFD">
              <w:rPr>
                <w:rFonts w:ascii="Arial" w:hAnsi="Arial" w:cs="Arial"/>
              </w:rPr>
              <w:t xml:space="preserve"> ewidencja na koncie 013 m.in. </w:t>
            </w:r>
            <w:r w:rsidR="00D90C33">
              <w:rPr>
                <w:rFonts w:ascii="Arial" w:hAnsi="Arial" w:cs="Arial"/>
              </w:rPr>
              <w:t>będzie obejmować zakup stacji roboczych, lapto</w:t>
            </w:r>
            <w:r w:rsidR="002B2560">
              <w:rPr>
                <w:rFonts w:ascii="Arial" w:hAnsi="Arial" w:cs="Arial"/>
              </w:rPr>
              <w:t>pów, monitorów</w:t>
            </w:r>
            <w:r w:rsidRPr="00BC2EFD">
              <w:rPr>
                <w:rFonts w:ascii="Arial" w:hAnsi="Arial" w:cs="Arial"/>
              </w:rPr>
              <w:t>. Ewidencja szczegółowa jest prowadzona w księgach inwentarzowych pozostałych środków trwałych.</w:t>
            </w:r>
          </w:p>
        </w:tc>
      </w:tr>
      <w:tr w:rsidR="00D90C33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0C33" w:rsidRDefault="00D90C33" w:rsidP="002B256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0C33" w:rsidRDefault="00D90C33" w:rsidP="002B256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020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0C33" w:rsidRPr="0001787A" w:rsidRDefault="00D90C33" w:rsidP="002B2560">
            <w:pPr>
              <w:spacing w:after="0"/>
              <w:rPr>
                <w:rFonts w:ascii="Arial" w:hAnsi="Arial" w:cs="Arial"/>
              </w:rPr>
            </w:pPr>
            <w:r w:rsidRPr="00272368">
              <w:rPr>
                <w:rFonts w:ascii="Arial" w:hAnsi="Arial" w:cs="Arial"/>
              </w:rPr>
              <w:t>Wartości niematerialne i prawne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0C33" w:rsidRPr="00A56C59" w:rsidRDefault="00D90C33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2368">
              <w:rPr>
                <w:rFonts w:ascii="Arial" w:hAnsi="Arial" w:cs="Arial"/>
              </w:rPr>
              <w:t>Na koncie ewidencjonuje się wartość stanu oraz zwiększeń i zmniejszeń wartości niematerialnych i prawny</w:t>
            </w:r>
            <w:r>
              <w:rPr>
                <w:rFonts w:ascii="Arial" w:hAnsi="Arial" w:cs="Arial"/>
              </w:rPr>
              <w:t xml:space="preserve">ch zakupionych w ramach Projektu, </w:t>
            </w:r>
            <w:r w:rsidRPr="00272368">
              <w:rPr>
                <w:rFonts w:ascii="Arial" w:hAnsi="Arial" w:cs="Arial"/>
              </w:rPr>
              <w:t xml:space="preserve">których wartość jednostkowa jest powyżej </w:t>
            </w:r>
            <w:r>
              <w:rPr>
                <w:rFonts w:ascii="Arial" w:hAnsi="Arial" w:cs="Arial"/>
              </w:rPr>
              <w:t xml:space="preserve">1 </w:t>
            </w:r>
            <w:r w:rsidRPr="00272368">
              <w:rPr>
                <w:rFonts w:ascii="Arial" w:hAnsi="Arial" w:cs="Arial"/>
              </w:rPr>
              <w:t xml:space="preserve">000,00 </w:t>
            </w:r>
            <w:r>
              <w:rPr>
                <w:rFonts w:ascii="Arial" w:hAnsi="Arial" w:cs="Arial"/>
              </w:rPr>
              <w:t>zł</w:t>
            </w:r>
            <w:r w:rsidRPr="00272368">
              <w:rPr>
                <w:rFonts w:ascii="Arial" w:hAnsi="Arial" w:cs="Arial"/>
              </w:rPr>
              <w:t xml:space="preserve">. Wartości niematerialne i prawne do kwoty 10 000,00 zł podlegają umorzeniu w pełnej wartości w miesiącu wydania do użytkowania i księgowane na koncie 020 w korespondencji z kontem </w:t>
            </w:r>
            <w:r w:rsidRPr="00272368">
              <w:rPr>
                <w:rFonts w:ascii="Arial" w:hAnsi="Arial" w:cs="Arial"/>
                <w:color w:val="000000" w:themeColor="text1"/>
              </w:rPr>
              <w:t>072. Powyżej 10 000,00 zł umarzane są sukcesywnie wg stawek i księgowane na koncie  020 w korespondencji z kontem 071.</w:t>
            </w:r>
          </w:p>
        </w:tc>
      </w:tr>
      <w:tr w:rsidR="00ED6AF9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1040B2" w:rsidRDefault="00D90C3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A06BB7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Default="00ED6AF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ED6AF9" w:rsidRDefault="00ED6AF9" w:rsidP="00DD675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Umorzenie środków trwałych oraz wartości niematerialnych i prawnych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D6AF9" w:rsidRPr="00ED6AF9" w:rsidRDefault="00ED6AF9" w:rsidP="0034475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Służy do ewidencji zmniejszeń wartości początkowej środków trwałych, które podlegają umorzeniu według stawek amortyzacyjnych stosowanych przez jednostkę</w:t>
            </w:r>
            <w:r w:rsidRPr="001040B2">
              <w:rPr>
                <w:rFonts w:ascii="Arial" w:hAnsi="Arial" w:cs="Arial"/>
                <w:bCs/>
              </w:rPr>
              <w:t xml:space="preserve"> ( strona Ma)</w:t>
            </w:r>
            <w:r w:rsidRPr="001040B2">
              <w:rPr>
                <w:rFonts w:ascii="Arial" w:eastAsia="Times New Roman" w:hAnsi="Arial" w:cs="Arial"/>
              </w:rPr>
              <w:t xml:space="preserve"> w korespondencji z kontem 400 (strona </w:t>
            </w:r>
            <w:proofErr w:type="spellStart"/>
            <w:r w:rsidRPr="001040B2">
              <w:rPr>
                <w:rFonts w:ascii="Arial" w:eastAsia="Times New Roman" w:hAnsi="Arial" w:cs="Arial"/>
              </w:rPr>
              <w:t>Wn</w:t>
            </w:r>
            <w:proofErr w:type="spellEnd"/>
            <w:r w:rsidRPr="001040B2">
              <w:rPr>
                <w:rFonts w:ascii="Arial" w:eastAsia="Times New Roman" w:hAnsi="Arial" w:cs="Arial"/>
              </w:rPr>
              <w:t>).</w:t>
            </w:r>
          </w:p>
        </w:tc>
      </w:tr>
      <w:tr w:rsidR="00BF4211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211" w:rsidRDefault="00D90C3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6527C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211" w:rsidRDefault="00BF421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072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211" w:rsidRPr="001040B2" w:rsidRDefault="00BF4211" w:rsidP="00DD675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97C09">
              <w:rPr>
                <w:rFonts w:ascii="Arial" w:hAnsi="Arial" w:cs="Arial"/>
              </w:rPr>
              <w:t>Umorzenie pozostałych środków trwałych, wartości niematerialnych i prawnych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4211" w:rsidRPr="001040B2" w:rsidRDefault="00BF4211" w:rsidP="0034475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697C09">
              <w:rPr>
                <w:rFonts w:ascii="Arial" w:hAnsi="Arial" w:cs="Arial"/>
              </w:rPr>
              <w:t xml:space="preserve">Na koncie tym księguje się umorzenie </w:t>
            </w:r>
            <w:r w:rsidRPr="00697C09">
              <w:rPr>
                <w:rFonts w:ascii="Arial" w:hAnsi="Arial" w:cs="Arial"/>
                <w:color w:val="000000" w:themeColor="text1"/>
              </w:rPr>
              <w:t xml:space="preserve">środków trwałych (072-1) oraz wartości niematerialnych i prawych (072-2) </w:t>
            </w:r>
            <w:r>
              <w:rPr>
                <w:rFonts w:ascii="Arial" w:hAnsi="Arial" w:cs="Arial"/>
                <w:color w:val="000000" w:themeColor="text1"/>
              </w:rPr>
              <w:t xml:space="preserve">nabytych w ramach Projektu, </w:t>
            </w:r>
            <w:r w:rsidRPr="00697C09">
              <w:rPr>
                <w:rFonts w:ascii="Arial" w:hAnsi="Arial" w:cs="Arial"/>
                <w:color w:val="000000" w:themeColor="text1"/>
              </w:rPr>
              <w:t xml:space="preserve">podlegających umorzeniu jednorazowo w pełnej wartości, w miesiącu </w:t>
            </w:r>
            <w:r w:rsidR="007B5675">
              <w:rPr>
                <w:rFonts w:ascii="Arial" w:hAnsi="Arial" w:cs="Arial"/>
              </w:rPr>
              <w:t>wydania do używania w korespondencji z kontem 401.</w:t>
            </w:r>
          </w:p>
        </w:tc>
      </w:tr>
      <w:tr w:rsidR="002F46BC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D90C33" w:rsidP="002F46B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="002F46BC" w:rsidRPr="001040B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2F46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080-2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2F46BC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Środki trwałe w budowie (inwestycje)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31CD5" w:rsidRDefault="00BF4211" w:rsidP="00D90C33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6749F">
              <w:rPr>
                <w:rFonts w:ascii="Arial" w:hAnsi="Arial" w:cs="Arial"/>
              </w:rPr>
              <w:t xml:space="preserve">Służy do ewidencji kosztów środków trwałych w budowie oraz do rozliczenia kosztów środków trwałych w budowie na uzyskane efekty. Na stronie </w:t>
            </w:r>
            <w:proofErr w:type="spellStart"/>
            <w:r w:rsidRPr="00C6749F">
              <w:rPr>
                <w:rFonts w:ascii="Arial" w:hAnsi="Arial" w:cs="Arial"/>
              </w:rPr>
              <w:t>Wn</w:t>
            </w:r>
            <w:proofErr w:type="spellEnd"/>
            <w:r w:rsidRPr="00C6749F">
              <w:rPr>
                <w:rFonts w:ascii="Arial" w:hAnsi="Arial" w:cs="Arial"/>
              </w:rPr>
              <w:t xml:space="preserve"> konta 080 księguje się poniesione koszty dotyczące środków trwałych w budowie </w:t>
            </w:r>
            <w:r w:rsidRPr="00C6749F">
              <w:rPr>
                <w:rFonts w:ascii="Arial" w:hAnsi="Arial" w:cs="Arial"/>
              </w:rPr>
              <w:lastRenderedPageBreak/>
              <w:t>(inwestycje) w</w:t>
            </w:r>
            <w:r w:rsidRPr="00C6749F">
              <w:t xml:space="preserve"> </w:t>
            </w:r>
            <w:r w:rsidRPr="00C6749F">
              <w:rPr>
                <w:rFonts w:ascii="Arial" w:hAnsi="Arial" w:cs="Arial"/>
              </w:rPr>
              <w:t xml:space="preserve">korespondencji z </w:t>
            </w:r>
            <w:r w:rsidRPr="00B97665">
              <w:rPr>
                <w:rFonts w:ascii="Arial" w:hAnsi="Arial" w:cs="Arial"/>
              </w:rPr>
              <w:t>kon</w:t>
            </w:r>
            <w:r w:rsidR="00D90C33">
              <w:rPr>
                <w:rFonts w:ascii="Arial" w:hAnsi="Arial" w:cs="Arial"/>
              </w:rPr>
              <w:t>tem 201</w:t>
            </w:r>
            <w:r w:rsidRPr="00B976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D0EDF">
              <w:rPr>
                <w:rFonts w:ascii="Arial" w:hAnsi="Arial" w:cs="Arial"/>
              </w:rPr>
              <w:t xml:space="preserve">W projekcie </w:t>
            </w:r>
            <w:r w:rsidR="00D90C33" w:rsidRPr="00C96831">
              <w:rPr>
                <w:rFonts w:ascii="Arial" w:hAnsi="Arial" w:cs="Arial"/>
              </w:rPr>
              <w:t>„</w:t>
            </w:r>
            <w:r w:rsidR="00D90C33">
              <w:rPr>
                <w:rFonts w:ascii="Arial" w:hAnsi="Arial" w:cs="Arial"/>
              </w:rPr>
              <w:t xml:space="preserve">Cyfrowa Gmina” </w:t>
            </w:r>
            <w:r w:rsidRPr="001D0EDF">
              <w:rPr>
                <w:rFonts w:ascii="Arial" w:hAnsi="Arial" w:cs="Arial"/>
              </w:rPr>
              <w:t>uj</w:t>
            </w:r>
            <w:r w:rsidRPr="001D0EDF">
              <w:rPr>
                <w:rFonts w:ascii="Arial" w:hAnsi="Arial" w:cs="Arial"/>
                <w:bCs/>
              </w:rPr>
              <w:t>ę</w:t>
            </w:r>
            <w:r w:rsidRPr="001D0ED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e zostaną nakłady inwestycyjne poniesione, m.in.: </w:t>
            </w:r>
            <w:r w:rsidR="00D90C33">
              <w:rPr>
                <w:rFonts w:ascii="Arial" w:hAnsi="Arial" w:cs="Arial"/>
              </w:rPr>
              <w:t>rozbudowę zabezpieczeń logistycznych, system monitoringu dostępu do sieci,</w:t>
            </w:r>
            <w:r w:rsidR="0098532E">
              <w:rPr>
                <w:rFonts w:ascii="Arial" w:hAnsi="Arial" w:cs="Arial"/>
              </w:rPr>
              <w:t xml:space="preserve"> system Portal mieszkańca,</w:t>
            </w:r>
            <w:r w:rsidR="00D90C33">
              <w:rPr>
                <w:rFonts w:ascii="Arial" w:hAnsi="Arial" w:cs="Arial"/>
              </w:rPr>
              <w:t xml:space="preserve"> </w:t>
            </w:r>
            <w:r w:rsidR="0098532E">
              <w:rPr>
                <w:rFonts w:ascii="Arial" w:hAnsi="Arial" w:cs="Arial"/>
              </w:rPr>
              <w:t xml:space="preserve">zakup serwera oraz urządzeń wielofunkcyjnych. </w:t>
            </w:r>
            <w:r w:rsidR="00D90C33">
              <w:rPr>
                <w:rFonts w:ascii="Arial" w:hAnsi="Arial" w:cs="Arial"/>
              </w:rPr>
              <w:t xml:space="preserve"> </w:t>
            </w:r>
            <w:r w:rsidRPr="00C6749F">
              <w:rPr>
                <w:rFonts w:ascii="Arial" w:hAnsi="Arial" w:cs="Arial"/>
              </w:rPr>
              <w:t xml:space="preserve">Konto 080 może wykazywać saldo </w:t>
            </w:r>
            <w:proofErr w:type="spellStart"/>
            <w:r w:rsidRPr="00C6749F">
              <w:rPr>
                <w:rFonts w:ascii="Arial" w:hAnsi="Arial" w:cs="Arial"/>
              </w:rPr>
              <w:t>Wn</w:t>
            </w:r>
            <w:proofErr w:type="spellEnd"/>
            <w:r w:rsidRPr="00C6749F">
              <w:rPr>
                <w:rFonts w:ascii="Arial" w:hAnsi="Arial" w:cs="Arial"/>
              </w:rPr>
              <w:t>, które oznacza wartość kosztów środków trwałych.</w:t>
            </w:r>
          </w:p>
        </w:tc>
      </w:tr>
      <w:tr w:rsidR="002F46BC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98532E" w:rsidP="00344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</w:t>
            </w:r>
            <w:r w:rsidR="002F46BC" w:rsidRPr="001040B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45BB7" w:rsidRDefault="002F46BC" w:rsidP="0034475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45BB7">
              <w:rPr>
                <w:rFonts w:ascii="Arial" w:eastAsia="Times New Roman" w:hAnsi="Arial" w:cs="Arial"/>
              </w:rPr>
              <w:t>130-2</w:t>
            </w:r>
            <w:r w:rsidR="008A5D60" w:rsidRPr="00145BB7">
              <w:rPr>
                <w:rFonts w:ascii="Arial" w:eastAsia="Times New Roman" w:hAnsi="Arial" w:cs="Arial"/>
              </w:rPr>
              <w:t>-</w:t>
            </w:r>
            <w:r w:rsidR="00163CBC" w:rsidRPr="00145BB7">
              <w:rPr>
                <w:rFonts w:ascii="Arial" w:eastAsia="Times New Roman" w:hAnsi="Arial" w:cs="Arial"/>
              </w:rPr>
              <w:t>23</w:t>
            </w:r>
          </w:p>
          <w:p w:rsidR="002F46BC" w:rsidRPr="001040B2" w:rsidRDefault="002F46BC" w:rsidP="0034475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F46BC" w:rsidRPr="001040B2" w:rsidRDefault="002F46BC" w:rsidP="003447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040B2" w:rsidRDefault="002F46BC" w:rsidP="003447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Rachunek bieżący jednostki</w:t>
            </w:r>
          </w:p>
          <w:p w:rsidR="002F46BC" w:rsidRPr="001040B2" w:rsidRDefault="002F46BC" w:rsidP="003447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F46BC" w:rsidRPr="001040B2" w:rsidRDefault="002F46BC" w:rsidP="003447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F46BC" w:rsidRPr="00145BB7" w:rsidRDefault="00131CD5" w:rsidP="0074332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145BB7">
              <w:rPr>
                <w:rFonts w:ascii="Arial" w:hAnsi="Arial" w:cs="Arial"/>
              </w:rPr>
              <w:t>Służy do ewidencji stanu środków pieniężnych oraz obrotów na rachunku bankowym z tytułu wydatków</w:t>
            </w:r>
            <w:r w:rsidR="00C81FA0" w:rsidRPr="00145BB7">
              <w:rPr>
                <w:rFonts w:ascii="Arial" w:hAnsi="Arial" w:cs="Arial"/>
              </w:rPr>
              <w:t xml:space="preserve">. </w:t>
            </w:r>
            <w:r w:rsidRPr="00145BB7">
              <w:rPr>
                <w:rFonts w:ascii="Arial" w:hAnsi="Arial" w:cs="Arial"/>
              </w:rPr>
              <w:t>Zapisy księgowe są dokonywane n</w:t>
            </w:r>
            <w:r w:rsidR="00C81FA0" w:rsidRPr="00145BB7">
              <w:rPr>
                <w:rFonts w:ascii="Arial" w:hAnsi="Arial" w:cs="Arial"/>
              </w:rPr>
              <w:t xml:space="preserve">a podstawie dokumentów        </w:t>
            </w:r>
            <w:r w:rsidR="00145BB7" w:rsidRPr="00145BB7">
              <w:rPr>
                <w:rFonts w:ascii="Arial" w:hAnsi="Arial" w:cs="Arial"/>
              </w:rPr>
              <w:t>bankowych</w:t>
            </w:r>
            <w:r w:rsidR="0074332A">
              <w:rPr>
                <w:rFonts w:ascii="Arial" w:hAnsi="Arial" w:cs="Arial"/>
              </w:rPr>
              <w:t xml:space="preserve">.      Konto </w:t>
            </w:r>
            <w:r w:rsidR="00C81FA0" w:rsidRPr="00145BB7">
              <w:rPr>
                <w:rFonts w:ascii="Arial" w:hAnsi="Arial" w:cs="Arial"/>
              </w:rPr>
              <w:t>130-2</w:t>
            </w:r>
            <w:r w:rsidR="00163CBC" w:rsidRPr="00145BB7">
              <w:rPr>
                <w:rFonts w:ascii="Arial" w:hAnsi="Arial" w:cs="Arial"/>
              </w:rPr>
              <w:t>-23</w:t>
            </w:r>
            <w:r w:rsidR="00C81FA0" w:rsidRPr="00145BB7">
              <w:rPr>
                <w:rFonts w:ascii="Arial" w:hAnsi="Arial" w:cs="Arial"/>
              </w:rPr>
              <w:t xml:space="preserve">-2 </w:t>
            </w:r>
            <w:r w:rsidR="0074332A">
              <w:rPr>
                <w:rFonts w:ascii="Arial" w:hAnsi="Arial" w:cs="Arial"/>
              </w:rPr>
              <w:t>służy do ewidencji wydatków</w:t>
            </w:r>
            <w:r w:rsidR="00C81FA0" w:rsidRPr="00145BB7">
              <w:rPr>
                <w:rFonts w:ascii="Arial" w:hAnsi="Arial" w:cs="Arial"/>
              </w:rPr>
              <w:t xml:space="preserve"> zgodnie z planem budżetu Projektu.</w:t>
            </w:r>
          </w:p>
        </w:tc>
      </w:tr>
      <w:tr w:rsidR="0098532E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1E7AA4" w:rsidP="0098532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  <w:r w:rsidR="0098532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201-1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11E3B">
              <w:rPr>
                <w:rFonts w:ascii="Arial" w:hAnsi="Arial" w:cs="Arial"/>
              </w:rPr>
              <w:t>Rozrachunki z odbiorcami i dostawcami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74332A" w:rsidP="0098532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96831">
              <w:rPr>
                <w:rFonts w:ascii="Arial" w:hAnsi="Arial" w:cs="Arial"/>
              </w:rPr>
              <w:t>Służy do ewidencji rozrachunków</w:t>
            </w:r>
            <w:r>
              <w:rPr>
                <w:rFonts w:ascii="Arial" w:hAnsi="Arial" w:cs="Arial"/>
              </w:rPr>
              <w:t xml:space="preserve"> z</w:t>
            </w:r>
            <w:r w:rsidRPr="00C968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kontrahentami </w:t>
            </w:r>
            <w:r w:rsidRPr="00C96831">
              <w:rPr>
                <w:rFonts w:ascii="Arial" w:hAnsi="Arial" w:cs="Arial"/>
              </w:rPr>
              <w:t>z tytułu dostaw, robót i usług</w:t>
            </w:r>
            <w:r>
              <w:rPr>
                <w:rFonts w:ascii="Arial" w:hAnsi="Arial" w:cs="Arial"/>
              </w:rPr>
              <w:t xml:space="preserve"> wykonanych w zwi</w:t>
            </w:r>
            <w:r w:rsidRPr="005F0E03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zku z realizacj</w:t>
            </w:r>
            <w:r w:rsidRPr="005F0E03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poszczeg</w:t>
            </w:r>
            <w:r w:rsidRPr="00E9492E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lnych zadań w ramach Projektu</w:t>
            </w:r>
            <w:r w:rsidRPr="00C96831">
              <w:rPr>
                <w:rFonts w:ascii="Arial" w:hAnsi="Arial" w:cs="Arial"/>
              </w:rPr>
              <w:t>. Konto 201 obciąża się za powstałe należności oraz za spłatę i zmniejszenie zobowiązań, a uznaje za powstałe zobowiązania oraz spłatę i   zmniejszenie należności. Ewidencję analityczną prowadzi się wg poszczególnych kontrahentów oraz według klasyfikacji budżetowej.</w:t>
            </w:r>
          </w:p>
        </w:tc>
      </w:tr>
      <w:tr w:rsidR="0098532E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 w:rsidRPr="001040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Pozostałe rozrachunki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251116" w:rsidRDefault="0098532E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1116">
              <w:rPr>
                <w:rFonts w:ascii="Arial" w:hAnsi="Arial" w:cs="Arial"/>
              </w:rPr>
              <w:t xml:space="preserve">Służy do ewidencji należności i roszczeń. </w:t>
            </w:r>
            <w:r w:rsidRPr="009C0013">
              <w:rPr>
                <w:rFonts w:ascii="Arial" w:hAnsi="Arial" w:cs="Arial"/>
              </w:rPr>
              <w:t xml:space="preserve">W projekcie </w:t>
            </w:r>
            <w:r w:rsidRPr="008A0A93">
              <w:rPr>
                <w:rFonts w:ascii="Arial" w:hAnsi="Arial" w:cs="Arial"/>
              </w:rPr>
              <w:t>”</w:t>
            </w:r>
            <w:r w:rsidR="00041F22">
              <w:rPr>
                <w:rFonts w:ascii="Arial" w:hAnsi="Arial" w:cs="Arial"/>
                <w:bCs/>
              </w:rPr>
              <w:t>Cyfrowa Gmina</w:t>
            </w:r>
            <w:r w:rsidRPr="008A0A93">
              <w:rPr>
                <w:rFonts w:ascii="Arial" w:hAnsi="Arial" w:cs="Arial"/>
              </w:rPr>
              <w:t>”</w:t>
            </w:r>
            <w:r w:rsidRPr="001D0EDF">
              <w:rPr>
                <w:rFonts w:ascii="Arial" w:hAnsi="Arial" w:cs="Arial"/>
              </w:rPr>
              <w:t xml:space="preserve"> </w:t>
            </w:r>
            <w:r w:rsidRPr="009C00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Pr="00251116">
              <w:rPr>
                <w:rFonts w:ascii="Arial" w:hAnsi="Arial" w:cs="Arial"/>
              </w:rPr>
              <w:t xml:space="preserve">onto 240-5 może być używane do ewidencji rozrachunków z kontrahentami </w:t>
            </w:r>
            <w:r>
              <w:rPr>
                <w:rFonts w:ascii="Arial" w:hAnsi="Arial" w:cs="Arial"/>
              </w:rPr>
              <w:t xml:space="preserve">z tytułu </w:t>
            </w:r>
            <w:r w:rsidRPr="00251116">
              <w:rPr>
                <w:rFonts w:ascii="Arial" w:hAnsi="Arial" w:cs="Arial"/>
              </w:rPr>
              <w:t>usług wykonanych w związku z</w:t>
            </w:r>
            <w:r>
              <w:rPr>
                <w:rFonts w:ascii="Arial" w:hAnsi="Arial" w:cs="Arial"/>
              </w:rPr>
              <w:t xml:space="preserve"> realizacją poszczególnych dział</w:t>
            </w:r>
            <w:r w:rsidRPr="00251116">
              <w:rPr>
                <w:rFonts w:ascii="Arial" w:hAnsi="Arial" w:cs="Arial"/>
              </w:rPr>
              <w:t>ań w ramach Projektu.</w:t>
            </w:r>
          </w:p>
          <w:p w:rsidR="0098532E" w:rsidRPr="001040B2" w:rsidRDefault="0098532E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1116">
              <w:rPr>
                <w:rFonts w:ascii="Arial" w:hAnsi="Arial" w:cs="Arial"/>
              </w:rPr>
              <w:t xml:space="preserve">Na stronie </w:t>
            </w:r>
            <w:proofErr w:type="spellStart"/>
            <w:r w:rsidRPr="00251116">
              <w:rPr>
                <w:rFonts w:ascii="Arial" w:hAnsi="Arial" w:cs="Arial"/>
              </w:rPr>
              <w:t>Wn</w:t>
            </w:r>
            <w:proofErr w:type="spellEnd"/>
            <w:r w:rsidRPr="00251116">
              <w:rPr>
                <w:rFonts w:ascii="Arial" w:hAnsi="Arial" w:cs="Arial"/>
              </w:rPr>
              <w:t xml:space="preserve"> ujmuje się powstałe należności i roszczenia oraz spłatę i zmniejszenie zobowiązań, na stronie Ma – powstałe zobow</w:t>
            </w:r>
            <w:r>
              <w:rPr>
                <w:rFonts w:ascii="Arial" w:hAnsi="Arial" w:cs="Arial"/>
              </w:rPr>
              <w:t xml:space="preserve">iązania oraz spłatę </w:t>
            </w:r>
            <w:r w:rsidRPr="00251116">
              <w:rPr>
                <w:rFonts w:ascii="Arial" w:hAnsi="Arial" w:cs="Arial"/>
              </w:rPr>
              <w:t>i zmniejszenie należności.</w:t>
            </w:r>
          </w:p>
        </w:tc>
      </w:tr>
      <w:tr w:rsidR="0098532E" w:rsidRPr="001040B2" w:rsidTr="00FC7D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4F75E1" w:rsidP="0098532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98532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Amortyzacja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Służy do ewidencji naliczonych odpisów amortyzacji od środków trwałych i wartości niematerialnych i prawnych, od których odpisy umorzeniowe są dokonywane stopniowo według stawek amortyzacyjnych. Na stronie </w:t>
            </w:r>
            <w:proofErr w:type="spellStart"/>
            <w:r w:rsidRPr="001040B2">
              <w:rPr>
                <w:rFonts w:ascii="Arial" w:eastAsia="Times New Roman" w:hAnsi="Arial" w:cs="Arial"/>
              </w:rPr>
              <w:t>Wn</w:t>
            </w:r>
            <w:proofErr w:type="spellEnd"/>
            <w:r w:rsidRPr="001040B2">
              <w:rPr>
                <w:rFonts w:ascii="Arial" w:eastAsia="Times New Roman" w:hAnsi="Arial" w:cs="Arial"/>
              </w:rPr>
              <w:t xml:space="preserve"> konta ujmuje się naliczone odpisy amortyzacyjne w korespondencji z kontem </w:t>
            </w:r>
            <w:r w:rsidRPr="001040B2">
              <w:rPr>
                <w:rFonts w:ascii="Arial" w:hAnsi="Arial" w:cs="Arial"/>
              </w:rPr>
              <w:t>- 071</w:t>
            </w:r>
            <w:r w:rsidRPr="001040B2">
              <w:rPr>
                <w:rFonts w:ascii="Arial" w:eastAsia="Times New Roman" w:hAnsi="Arial" w:cs="Arial"/>
              </w:rPr>
              <w:t xml:space="preserve">, a na stronie Ma – </w:t>
            </w:r>
            <w:r w:rsidRPr="001040B2">
              <w:rPr>
                <w:rFonts w:ascii="Arial" w:hAnsi="Arial" w:cs="Arial"/>
              </w:rPr>
              <w:t>przeniesienie rocznej sumy kosztów amortyzacji na wynik finansowy, w korespondencji z kontem 860 „Wynik finansowy”.</w:t>
            </w:r>
          </w:p>
        </w:tc>
      </w:tr>
      <w:tr w:rsidR="0098532E" w:rsidRPr="001040B2" w:rsidTr="00FC7D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4F75E1" w:rsidP="0098532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98532E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401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560A41" w:rsidRDefault="0098532E" w:rsidP="009853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60A41">
              <w:rPr>
                <w:rFonts w:ascii="Arial" w:hAnsi="Arial" w:cs="Arial"/>
              </w:rPr>
              <w:t>Zużycie materiałów i energii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560A41" w:rsidRDefault="0098532E" w:rsidP="0098532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27E5F">
              <w:rPr>
                <w:rFonts w:ascii="Arial" w:hAnsi="Arial" w:cs="Arial"/>
              </w:rPr>
              <w:t>Służy do ewidencji kosztów zużycia materiałów i energii związanych z</w:t>
            </w:r>
            <w:r>
              <w:rPr>
                <w:rFonts w:ascii="Arial" w:hAnsi="Arial" w:cs="Arial"/>
              </w:rPr>
              <w:t xml:space="preserve"> </w:t>
            </w:r>
            <w:r w:rsidRPr="00227E5F">
              <w:rPr>
                <w:rFonts w:ascii="Arial" w:hAnsi="Arial" w:cs="Arial"/>
              </w:rPr>
              <w:t>projektem</w:t>
            </w:r>
            <w:r w:rsidR="00832851">
              <w:rPr>
                <w:rFonts w:ascii="Arial" w:hAnsi="Arial" w:cs="Arial"/>
              </w:rPr>
              <w:t xml:space="preserve"> </w:t>
            </w:r>
            <w:r w:rsidR="00832851" w:rsidRPr="00CC0CBC">
              <w:rPr>
                <w:rFonts w:ascii="Arial" w:hAnsi="Arial" w:cs="Arial"/>
              </w:rPr>
              <w:t>”</w:t>
            </w:r>
            <w:r w:rsidR="00832851">
              <w:rPr>
                <w:rFonts w:ascii="Arial" w:hAnsi="Arial" w:cs="Arial"/>
              </w:rPr>
              <w:t>Cyfrowa Gmina</w:t>
            </w:r>
            <w:r w:rsidR="00832851" w:rsidRPr="00CC0CBC">
              <w:rPr>
                <w:rFonts w:ascii="Arial" w:hAnsi="Arial" w:cs="Arial"/>
              </w:rPr>
              <w:t>”</w:t>
            </w:r>
            <w:r w:rsidRPr="00227E5F">
              <w:rPr>
                <w:rFonts w:ascii="Arial" w:hAnsi="Arial" w:cs="Arial"/>
              </w:rPr>
              <w:t xml:space="preserve">. Na stronie </w:t>
            </w:r>
            <w:proofErr w:type="spellStart"/>
            <w:r w:rsidRPr="00227E5F">
              <w:rPr>
                <w:rFonts w:ascii="Arial" w:hAnsi="Arial" w:cs="Arial"/>
              </w:rPr>
              <w:t>Wn</w:t>
            </w:r>
            <w:proofErr w:type="spellEnd"/>
            <w:r w:rsidRPr="00227E5F">
              <w:rPr>
                <w:rFonts w:ascii="Arial" w:hAnsi="Arial" w:cs="Arial"/>
              </w:rPr>
              <w:t xml:space="preserve"> konta 401 ujmuje się poniesione koszty z ww. tytułów, na stronie Ma konta 401 na </w:t>
            </w:r>
            <w:r w:rsidRPr="00227E5F">
              <w:rPr>
                <w:rFonts w:ascii="Arial" w:hAnsi="Arial" w:cs="Arial"/>
              </w:rPr>
              <w:lastRenderedPageBreak/>
              <w:t xml:space="preserve">dzień bilansowy ujmuje się przeniesienie salda poniesionych w ciągu roku kosztów na konto 860. </w:t>
            </w:r>
          </w:p>
        </w:tc>
      </w:tr>
      <w:tr w:rsidR="00041F22" w:rsidRPr="001040B2" w:rsidTr="00FC7D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F22" w:rsidRDefault="004F75E1" w:rsidP="0098532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12.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F22" w:rsidRDefault="00041F22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F22" w:rsidRPr="00560A41" w:rsidRDefault="00041F22" w:rsidP="0098532E">
            <w:pPr>
              <w:spacing w:after="0" w:line="240" w:lineRule="auto"/>
              <w:rPr>
                <w:rFonts w:ascii="Arial" w:hAnsi="Arial" w:cs="Arial"/>
              </w:rPr>
            </w:pPr>
            <w:r w:rsidRPr="00C96831">
              <w:rPr>
                <w:rFonts w:ascii="Arial" w:hAnsi="Arial" w:cs="Arial"/>
              </w:rPr>
              <w:t>Usługi obce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F22" w:rsidRPr="00227E5F" w:rsidRDefault="00041F22" w:rsidP="0083285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27E5F">
              <w:rPr>
                <w:rFonts w:ascii="Arial" w:hAnsi="Arial" w:cs="Arial"/>
              </w:rPr>
              <w:t xml:space="preserve">Służy do ewidencji kosztów z tytułu usług obcych wykonywanych na rzecz zadań realizowanych w ramach projektu </w:t>
            </w:r>
            <w:r w:rsidR="00832851" w:rsidRPr="00CC0CBC">
              <w:rPr>
                <w:rFonts w:ascii="Arial" w:hAnsi="Arial" w:cs="Arial"/>
              </w:rPr>
              <w:t>”</w:t>
            </w:r>
            <w:r w:rsidR="00832851">
              <w:rPr>
                <w:rFonts w:ascii="Arial" w:hAnsi="Arial" w:cs="Arial"/>
              </w:rPr>
              <w:t>Cyfrowa Gmina</w:t>
            </w:r>
            <w:r w:rsidR="00832851" w:rsidRPr="00CC0CBC">
              <w:rPr>
                <w:rFonts w:ascii="Arial" w:hAnsi="Arial" w:cs="Arial"/>
              </w:rPr>
              <w:t>”</w:t>
            </w:r>
            <w:r w:rsidR="00832851">
              <w:rPr>
                <w:rFonts w:ascii="Arial" w:hAnsi="Arial" w:cs="Arial"/>
              </w:rPr>
              <w:t>.</w:t>
            </w:r>
            <w:r w:rsidR="00DD6750">
              <w:rPr>
                <w:rFonts w:ascii="Arial" w:hAnsi="Arial" w:cs="Arial"/>
              </w:rPr>
              <w:t xml:space="preserve"> </w:t>
            </w:r>
            <w:r w:rsidRPr="00227E5F">
              <w:rPr>
                <w:rFonts w:ascii="Arial" w:hAnsi="Arial" w:cs="Arial"/>
              </w:rPr>
              <w:t xml:space="preserve">Na stronie </w:t>
            </w:r>
            <w:proofErr w:type="spellStart"/>
            <w:r w:rsidRPr="00227E5F">
              <w:rPr>
                <w:rFonts w:ascii="Arial" w:hAnsi="Arial" w:cs="Arial"/>
              </w:rPr>
              <w:t>Wn</w:t>
            </w:r>
            <w:proofErr w:type="spellEnd"/>
            <w:r w:rsidRPr="00227E5F">
              <w:rPr>
                <w:rFonts w:ascii="Arial" w:hAnsi="Arial" w:cs="Arial"/>
              </w:rPr>
              <w:t xml:space="preserve"> konta 402 ujmuje się poniesione koszty usług obcych, na stronie Ma konta ujmuje się na dzień bilansowy przeniesienie kosztów usług obcych na konto 860.</w:t>
            </w:r>
          </w:p>
        </w:tc>
      </w:tr>
      <w:tr w:rsidR="00041F22" w:rsidRPr="001040B2" w:rsidTr="00FC7DA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F22" w:rsidRDefault="004F75E1" w:rsidP="0098532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F22" w:rsidRDefault="00041F22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F22" w:rsidRPr="00C96831" w:rsidRDefault="00041F22" w:rsidP="0098532E">
            <w:pPr>
              <w:spacing w:after="0" w:line="240" w:lineRule="auto"/>
              <w:rPr>
                <w:rFonts w:ascii="Arial" w:hAnsi="Arial" w:cs="Arial"/>
              </w:rPr>
            </w:pPr>
            <w:r w:rsidRPr="0090780B">
              <w:rPr>
                <w:rFonts w:ascii="Arial" w:hAnsi="Arial" w:cs="Arial"/>
              </w:rPr>
              <w:t>Ubezpieczenia społeczne i inne świadczenia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41F22" w:rsidRPr="00227E5F" w:rsidRDefault="00041F22" w:rsidP="00041F22">
            <w:pPr>
              <w:jc w:val="both"/>
              <w:rPr>
                <w:rFonts w:ascii="Arial" w:hAnsi="Arial" w:cs="Arial"/>
              </w:rPr>
            </w:pPr>
            <w:r w:rsidRPr="00CC0CBC">
              <w:rPr>
                <w:rFonts w:ascii="Arial" w:hAnsi="Arial" w:cs="Arial"/>
              </w:rPr>
              <w:t>W projekcie ”</w:t>
            </w:r>
            <w:r>
              <w:rPr>
                <w:rFonts w:ascii="Arial" w:hAnsi="Arial" w:cs="Arial"/>
              </w:rPr>
              <w:t>Cyfrowa Gmina</w:t>
            </w:r>
            <w:r w:rsidRPr="00CC0CBC">
              <w:rPr>
                <w:rFonts w:ascii="Arial" w:hAnsi="Arial" w:cs="Arial"/>
              </w:rPr>
              <w:t xml:space="preserve">” konto 405 służy do ewidencji kosztów z tytułu </w:t>
            </w:r>
            <w:r>
              <w:rPr>
                <w:rFonts w:ascii="Arial" w:hAnsi="Arial" w:cs="Arial"/>
              </w:rPr>
              <w:t>szkolenia dla pracowników IT</w:t>
            </w:r>
            <w:r w:rsidR="00832851">
              <w:rPr>
                <w:rFonts w:ascii="Arial" w:hAnsi="Arial" w:cs="Arial"/>
              </w:rPr>
              <w:t xml:space="preserve">. </w:t>
            </w:r>
            <w:r w:rsidRPr="00CC0CBC">
              <w:rPr>
                <w:rFonts w:ascii="Arial" w:hAnsi="Arial" w:cs="Arial"/>
              </w:rPr>
              <w:t xml:space="preserve">Na stronie </w:t>
            </w:r>
            <w:proofErr w:type="spellStart"/>
            <w:r w:rsidRPr="00CC0CBC">
              <w:rPr>
                <w:rFonts w:ascii="Arial" w:hAnsi="Arial" w:cs="Arial"/>
              </w:rPr>
              <w:t>Wn</w:t>
            </w:r>
            <w:proofErr w:type="spellEnd"/>
            <w:r w:rsidRPr="00CC0CBC">
              <w:rPr>
                <w:rFonts w:ascii="Arial" w:hAnsi="Arial" w:cs="Arial"/>
              </w:rPr>
              <w:t xml:space="preserve"> konta 405 ujmuje się </w:t>
            </w:r>
            <w:r>
              <w:rPr>
                <w:rFonts w:ascii="Arial" w:hAnsi="Arial" w:cs="Arial"/>
              </w:rPr>
              <w:t xml:space="preserve">poniesione </w:t>
            </w:r>
            <w:r w:rsidRPr="00CC0CBC">
              <w:rPr>
                <w:rFonts w:ascii="Arial" w:hAnsi="Arial" w:cs="Arial"/>
              </w:rPr>
              <w:t>koszty z ty</w:t>
            </w:r>
            <w:r w:rsidR="00832851">
              <w:rPr>
                <w:rFonts w:ascii="Arial" w:hAnsi="Arial" w:cs="Arial"/>
              </w:rPr>
              <w:t>tułu szkoleń</w:t>
            </w:r>
            <w:r w:rsidRPr="00CC0CBC">
              <w:rPr>
                <w:rFonts w:ascii="Arial" w:hAnsi="Arial" w:cs="Arial"/>
              </w:rPr>
              <w:t>, na stronie Ma ujmuje się zmniejszenie kosztów, a na dzień bilansowy przenosi się je na konto 860.</w:t>
            </w:r>
          </w:p>
        </w:tc>
      </w:tr>
      <w:tr w:rsidR="0098532E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4F75E1" w:rsidP="009853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  <w:r w:rsidR="0098532E" w:rsidRPr="001040B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800</w:t>
            </w:r>
          </w:p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Fundusz jednostki </w:t>
            </w:r>
          </w:p>
          <w:p w:rsidR="0098532E" w:rsidRPr="001040B2" w:rsidRDefault="0098532E" w:rsidP="009853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8532E" w:rsidRPr="001040B2" w:rsidRDefault="0098532E" w:rsidP="009853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F87E7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300160">
              <w:rPr>
                <w:rFonts w:ascii="Arial" w:hAnsi="Arial" w:cs="Arial"/>
              </w:rPr>
              <w:t xml:space="preserve">Służy do ewidencji równowartości majątku trwałego oraz majątku obrotowego nabytego  w projekcie </w:t>
            </w:r>
            <w:r>
              <w:rPr>
                <w:rFonts w:ascii="Arial" w:hAnsi="Arial" w:cs="Arial"/>
              </w:rPr>
              <w:t>oraz działalności inwestycyjnej</w:t>
            </w:r>
            <w:r w:rsidRPr="00300160">
              <w:rPr>
                <w:rFonts w:ascii="Arial" w:hAnsi="Arial" w:cs="Arial"/>
              </w:rPr>
              <w:t xml:space="preserve"> i jego zmian.</w:t>
            </w:r>
            <w:r w:rsidRPr="00256A46">
              <w:rPr>
                <w:rFonts w:ascii="Arial" w:hAnsi="Arial" w:cs="Arial"/>
              </w:rPr>
              <w:t xml:space="preserve"> Ewidencję szczegółową prowadzi się w podziale wg rodzaju funduszy (źródeł pochodzenia) odnoszących się do projektu. </w:t>
            </w:r>
            <w:r w:rsidR="00DD6750">
              <w:rPr>
                <w:rFonts w:ascii="Arial" w:hAnsi="Arial" w:cs="Arial"/>
              </w:rPr>
              <w:t xml:space="preserve">  </w:t>
            </w:r>
            <w:r w:rsidRPr="00256A46">
              <w:rPr>
                <w:rFonts w:ascii="Arial" w:hAnsi="Arial" w:cs="Arial"/>
              </w:rPr>
              <w:t xml:space="preserve">Na stronie </w:t>
            </w:r>
            <w:proofErr w:type="spellStart"/>
            <w:r w:rsidRPr="00256A46">
              <w:rPr>
                <w:rFonts w:ascii="Arial" w:hAnsi="Arial" w:cs="Arial"/>
              </w:rPr>
              <w:t>Wn</w:t>
            </w:r>
            <w:proofErr w:type="spellEnd"/>
            <w:r w:rsidRPr="00256A46">
              <w:rPr>
                <w:rFonts w:ascii="Arial" w:hAnsi="Arial" w:cs="Arial"/>
              </w:rPr>
              <w:t xml:space="preserve"> konta 800 ujmuje się w szczególności przeksięgowanie straty bilansowej roku ubiegłego z konta 860, przeksięgowanie w końcu roku obrotowego dotacji z budżetu wykorzystanych na inwestycje z konta 810-2.  </w:t>
            </w:r>
            <w:r w:rsidRPr="00FC7DAC">
              <w:rPr>
                <w:rFonts w:ascii="Arial" w:hAnsi="Arial" w:cs="Arial"/>
              </w:rPr>
              <w:t xml:space="preserve">Na stronie Ma konta 800 ujmuje się przeksięgowanie w roku </w:t>
            </w:r>
            <w:r w:rsidRPr="00256A46">
              <w:rPr>
                <w:rFonts w:ascii="Arial" w:hAnsi="Arial" w:cs="Arial"/>
              </w:rPr>
              <w:t xml:space="preserve">następnym zysku bilansowego </w:t>
            </w:r>
            <w:r>
              <w:rPr>
                <w:rFonts w:ascii="Arial" w:hAnsi="Arial" w:cs="Arial"/>
              </w:rPr>
              <w:t xml:space="preserve">roku ubiegłego z konta 860 (pod </w:t>
            </w:r>
            <w:r w:rsidRPr="00256A46">
              <w:rPr>
                <w:rFonts w:ascii="Arial" w:hAnsi="Arial" w:cs="Arial"/>
              </w:rPr>
              <w:t xml:space="preserve">datą przyjęcia sprawozdania finansowego). </w:t>
            </w:r>
          </w:p>
        </w:tc>
      </w:tr>
      <w:tr w:rsidR="0098532E" w:rsidRPr="001040B2" w:rsidTr="00FC7DA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4F75E1" w:rsidP="0098532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  <w:r w:rsidR="0098532E" w:rsidRPr="001040B2">
              <w:rPr>
                <w:rFonts w:ascii="Arial" w:eastAsia="Times New Roman" w:hAnsi="Arial" w:cs="Arial"/>
              </w:rPr>
              <w:t>.</w:t>
            </w:r>
          </w:p>
          <w:p w:rsidR="0098532E" w:rsidRPr="001040B2" w:rsidRDefault="0098532E" w:rsidP="0098532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810-2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Dotacje budżetowe, płatności z budżetu środków europejskich oraz środki z budżetu na inwestycje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83293" w:rsidRDefault="0098532E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3293">
              <w:rPr>
                <w:rFonts w:ascii="Arial" w:hAnsi="Arial" w:cs="Arial"/>
              </w:rPr>
              <w:t>Służy do ewidencji</w:t>
            </w:r>
            <w:r>
              <w:rPr>
                <w:rFonts w:ascii="Arial" w:hAnsi="Arial" w:cs="Arial"/>
              </w:rPr>
              <w:t xml:space="preserve"> równowartości środków przeznaczonych na realizację wydatków majątkowych w projekcie </w:t>
            </w:r>
            <w:r w:rsidRPr="00183293">
              <w:rPr>
                <w:rFonts w:ascii="Arial" w:hAnsi="Arial" w:cs="Arial"/>
              </w:rPr>
              <w:t>w korespondencji z kontem 800 „Fundusz jednostki”.</w:t>
            </w:r>
          </w:p>
          <w:p w:rsidR="0098532E" w:rsidRPr="003D3F8E" w:rsidRDefault="0098532E" w:rsidP="002B256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3293">
              <w:rPr>
                <w:rFonts w:ascii="Arial" w:hAnsi="Arial" w:cs="Arial"/>
              </w:rPr>
              <w:t>Na stronie Ma ujmuje się przeksięgowanie w końcu roku obrotowego salda konta 810-2 na konto 800 „Fundusz jednostki”. Na koniec roku konto 810 nie wykazuje salda.</w:t>
            </w:r>
          </w:p>
        </w:tc>
      </w:tr>
      <w:tr w:rsidR="0098532E" w:rsidRPr="001040B2" w:rsidTr="00FC7DAC">
        <w:trPr>
          <w:trHeight w:val="2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4F75E1" w:rsidP="0098532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  <w:bookmarkStart w:id="0" w:name="_GoBack"/>
            <w:bookmarkEnd w:id="0"/>
            <w:r w:rsidR="0098532E" w:rsidRPr="001040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860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Wynik finansowy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8532E" w:rsidRPr="001040B2" w:rsidRDefault="0098532E" w:rsidP="0098532E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BA66DA">
              <w:rPr>
                <w:rFonts w:ascii="Arial" w:hAnsi="Arial" w:cs="Arial"/>
              </w:rPr>
              <w:t>Służy do ustalania wyniku finansowego</w:t>
            </w:r>
            <w:r>
              <w:rPr>
                <w:rFonts w:ascii="Arial" w:hAnsi="Arial" w:cs="Arial"/>
              </w:rPr>
              <w:t xml:space="preserve"> w </w:t>
            </w:r>
            <w:r w:rsidRPr="000905AB">
              <w:rPr>
                <w:rFonts w:ascii="Arial" w:hAnsi="Arial" w:cs="Arial"/>
              </w:rPr>
              <w:t>projekcie.</w:t>
            </w:r>
            <w:r w:rsidRPr="00BA66DA">
              <w:rPr>
                <w:rFonts w:ascii="Arial" w:hAnsi="Arial" w:cs="Arial"/>
              </w:rPr>
              <w:t xml:space="preserve"> W końcu roku obrotowego na stronie </w:t>
            </w:r>
            <w:proofErr w:type="spellStart"/>
            <w:r w:rsidRPr="00BA66DA">
              <w:rPr>
                <w:rFonts w:ascii="Arial" w:hAnsi="Arial" w:cs="Arial"/>
              </w:rPr>
              <w:t>Wn</w:t>
            </w:r>
            <w:proofErr w:type="spellEnd"/>
            <w:r w:rsidRPr="00BA66DA">
              <w:rPr>
                <w:rFonts w:ascii="Arial" w:hAnsi="Arial" w:cs="Arial"/>
              </w:rPr>
              <w:t xml:space="preserve"> konta ujmuje się sumę poniesionych kosztów</w:t>
            </w:r>
            <w:r>
              <w:rPr>
                <w:rFonts w:ascii="Arial" w:hAnsi="Arial" w:cs="Arial"/>
              </w:rPr>
              <w:t xml:space="preserve"> projektu w korespondencji z kontami</w:t>
            </w:r>
            <w:r w:rsidRPr="00BA66DA">
              <w:rPr>
                <w:rFonts w:ascii="Arial" w:hAnsi="Arial" w:cs="Arial"/>
              </w:rPr>
              <w:t xml:space="preserve"> zespołu „4”</w:t>
            </w:r>
            <w:r>
              <w:rPr>
                <w:rFonts w:ascii="Arial" w:hAnsi="Arial" w:cs="Arial"/>
              </w:rPr>
              <w:t xml:space="preserve"> i „7”</w:t>
            </w:r>
            <w:r w:rsidRPr="00BA66DA">
              <w:rPr>
                <w:rFonts w:ascii="Arial" w:hAnsi="Arial" w:cs="Arial"/>
              </w:rPr>
              <w:t xml:space="preserve">. Saldo konta 860 wyraża na koniec roku obrotowego wynik finansowy </w:t>
            </w:r>
            <w:r>
              <w:rPr>
                <w:rFonts w:ascii="Arial" w:hAnsi="Arial" w:cs="Arial"/>
              </w:rPr>
              <w:t xml:space="preserve">projektu, </w:t>
            </w:r>
            <w:r w:rsidRPr="00BA66DA">
              <w:rPr>
                <w:rFonts w:ascii="Arial" w:hAnsi="Arial" w:cs="Arial"/>
              </w:rPr>
              <w:t xml:space="preserve">saldo </w:t>
            </w:r>
            <w:proofErr w:type="spellStart"/>
            <w:r w:rsidRPr="00BA66DA">
              <w:rPr>
                <w:rFonts w:ascii="Arial" w:hAnsi="Arial" w:cs="Arial"/>
              </w:rPr>
              <w:t>Wn</w:t>
            </w:r>
            <w:proofErr w:type="spellEnd"/>
            <w:r w:rsidRPr="00BA66DA">
              <w:rPr>
                <w:rFonts w:ascii="Arial" w:hAnsi="Arial" w:cs="Arial"/>
              </w:rPr>
              <w:t xml:space="preserve"> – stratę netto, saldo Ma – zysk netto. Saldo jest przenoszone w roku następnym na konto 800.</w:t>
            </w:r>
          </w:p>
        </w:tc>
      </w:tr>
    </w:tbl>
    <w:p w:rsidR="00DD00C1" w:rsidRPr="001040B2" w:rsidRDefault="00DD00C1" w:rsidP="00344750">
      <w:pPr>
        <w:spacing w:after="0" w:line="240" w:lineRule="auto"/>
        <w:rPr>
          <w:rFonts w:ascii="Arial" w:eastAsia="Times New Roman" w:hAnsi="Arial" w:cs="Arial"/>
          <w:b/>
        </w:rPr>
      </w:pPr>
    </w:p>
    <w:p w:rsidR="002B2560" w:rsidRDefault="002B2560" w:rsidP="00344750">
      <w:pPr>
        <w:spacing w:after="0" w:line="240" w:lineRule="auto"/>
        <w:rPr>
          <w:rFonts w:ascii="Arial" w:eastAsia="Times New Roman" w:hAnsi="Arial" w:cs="Arial"/>
          <w:b/>
        </w:rPr>
      </w:pPr>
    </w:p>
    <w:p w:rsidR="00DD00C1" w:rsidRPr="001040B2" w:rsidRDefault="00D66402" w:rsidP="00344750">
      <w:pPr>
        <w:spacing w:after="0" w:line="240" w:lineRule="auto"/>
        <w:rPr>
          <w:rFonts w:ascii="Arial" w:eastAsia="Times New Roman" w:hAnsi="Arial" w:cs="Arial"/>
          <w:b/>
        </w:rPr>
      </w:pPr>
      <w:r w:rsidRPr="001040B2">
        <w:rPr>
          <w:rFonts w:ascii="Arial" w:eastAsia="Times New Roman" w:hAnsi="Arial" w:cs="Arial"/>
          <w:b/>
        </w:rPr>
        <w:lastRenderedPageBreak/>
        <w:t>Konta pozabilansowe</w:t>
      </w: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1589"/>
        <w:gridCol w:w="1972"/>
        <w:gridCol w:w="5012"/>
      </w:tblGrid>
      <w:tr w:rsidR="00273637" w:rsidRPr="001040B2" w:rsidTr="00FC7DAC">
        <w:trPr>
          <w:trHeight w:val="7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8A0A93" w:rsidP="0034475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273637" w:rsidRPr="001040B2">
              <w:rPr>
                <w:rFonts w:ascii="Arial" w:eastAsia="Times New Roman" w:hAnsi="Arial" w:cs="Arial"/>
              </w:rPr>
              <w:t>.</w:t>
            </w:r>
          </w:p>
          <w:p w:rsidR="00273637" w:rsidRPr="001040B2" w:rsidRDefault="00273637" w:rsidP="0034475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73637" w:rsidRPr="001040B2" w:rsidRDefault="00273637" w:rsidP="00344750">
            <w:pPr>
              <w:spacing w:after="0" w:line="240" w:lineRule="auto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FC7DAC" w:rsidP="003447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019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FC7DAC" w:rsidP="00344750">
            <w:pPr>
              <w:spacing w:after="0" w:line="240" w:lineRule="auto"/>
              <w:rPr>
                <w:rFonts w:ascii="Arial" w:hAnsi="Arial" w:cs="Arial"/>
              </w:rPr>
            </w:pPr>
            <w:r w:rsidRPr="00B81AEA">
              <w:rPr>
                <w:rFonts w:ascii="Arial" w:hAnsi="Arial" w:cs="Arial"/>
              </w:rPr>
              <w:t xml:space="preserve">Pozostałe środki trwałe – przedmioty </w:t>
            </w:r>
            <w:proofErr w:type="spellStart"/>
            <w:r w:rsidRPr="00B81AEA">
              <w:rPr>
                <w:rFonts w:ascii="Arial" w:hAnsi="Arial" w:cs="Arial"/>
              </w:rPr>
              <w:t>niskocenne</w:t>
            </w:r>
            <w:proofErr w:type="spellEnd"/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47754" w:rsidRPr="00FC7DAC" w:rsidRDefault="009D437A" w:rsidP="009D437A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Calibri" w:hAnsi="Arial" w:cs="Arial"/>
                <w:szCs w:val="20"/>
                <w:lang w:eastAsia="en-US"/>
              </w:rPr>
            </w:pPr>
            <w:r w:rsidRPr="00B81AEA">
              <w:rPr>
                <w:rFonts w:ascii="Arial" w:eastAsia="Calibri" w:hAnsi="Arial" w:cs="Arial"/>
                <w:szCs w:val="20"/>
                <w:lang w:eastAsia="en-US"/>
              </w:rPr>
              <w:t xml:space="preserve">Służy do ewidencji ilościowej stanu oraz zwiększeń i zmniejszeń wartości początkowej pozostałych środków trwałych - przedmiotów </w:t>
            </w:r>
            <w:proofErr w:type="spellStart"/>
            <w:r w:rsidRPr="00B81AEA">
              <w:rPr>
                <w:rFonts w:ascii="Arial" w:eastAsia="Calibri" w:hAnsi="Arial" w:cs="Arial"/>
                <w:szCs w:val="20"/>
                <w:lang w:eastAsia="en-US"/>
              </w:rPr>
              <w:t>niskocennych</w:t>
            </w:r>
            <w:proofErr w:type="spellEnd"/>
            <w:r>
              <w:rPr>
                <w:rFonts w:ascii="Arial" w:eastAsia="Calibri" w:hAnsi="Arial" w:cs="Arial"/>
                <w:szCs w:val="20"/>
                <w:lang w:eastAsia="en-US"/>
              </w:rPr>
              <w:t xml:space="preserve"> nabytych w ramach projektu</w:t>
            </w:r>
            <w:r w:rsidRPr="00B81AEA">
              <w:rPr>
                <w:rFonts w:ascii="Arial" w:eastAsia="Calibri" w:hAnsi="Arial" w:cs="Arial"/>
                <w:szCs w:val="20"/>
                <w:lang w:eastAsia="en-US"/>
              </w:rPr>
              <w:t>, wydanych do używania. Ewidencja  szczegółowa prowadzona jest dla</w:t>
            </w:r>
            <w:r w:rsidRPr="00B81AEA">
              <w:rPr>
                <w:rFonts w:ascii="Arial" w:eastAsia="Calibri" w:hAnsi="Arial" w:cs="Arial"/>
                <w:szCs w:val="20"/>
                <w:lang w:val="cs-CZ" w:eastAsia="en-US"/>
              </w:rPr>
              <w:t xml:space="preserve"> przedmiotów o okresie użytkowania dłuższym niż 1 rok, o wartości początkowej nieprzekraczającej jednostkowo kwoty 1,000 zł. Ewidencja szczegółowa powinna umożliwić ustalenie miejsca użytkowania pozostałych środków trwałych – przedmiotów niskocennych i osób za nie odpowiedzialnych. </w:t>
            </w:r>
          </w:p>
        </w:tc>
      </w:tr>
      <w:tr w:rsidR="00FC7DAC" w:rsidRPr="001040B2" w:rsidTr="00FC7DAC">
        <w:trPr>
          <w:trHeight w:val="73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DAC" w:rsidRDefault="00FC7DAC" w:rsidP="0034475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DAC" w:rsidRPr="001040B2" w:rsidRDefault="00FC7DAC" w:rsidP="0034475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998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DAC" w:rsidRPr="001040B2" w:rsidRDefault="00FC7DAC" w:rsidP="003447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Zaangażowanie wydatków roku bieżącego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7DAC" w:rsidRPr="00C96831" w:rsidRDefault="00FC7DAC" w:rsidP="00FC7DAC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96831">
              <w:rPr>
                <w:rFonts w:ascii="Arial" w:hAnsi="Arial" w:cs="Arial"/>
              </w:rPr>
              <w:t>Służy do ewidencji zaangażowania wydatków budżetowych ujętyc</w:t>
            </w:r>
            <w:r>
              <w:rPr>
                <w:rFonts w:ascii="Arial" w:hAnsi="Arial" w:cs="Arial"/>
              </w:rPr>
              <w:t xml:space="preserve">h w planie finansowym </w:t>
            </w:r>
            <w:r w:rsidRPr="00C96831">
              <w:rPr>
                <w:rFonts w:ascii="Arial" w:hAnsi="Arial" w:cs="Arial"/>
              </w:rPr>
              <w:t>wydatków danego roku budżetowego</w:t>
            </w:r>
            <w:r>
              <w:rPr>
                <w:rFonts w:ascii="Arial" w:hAnsi="Arial" w:cs="Arial"/>
              </w:rPr>
              <w:t xml:space="preserve"> projektu, w tym m.in. zaanga</w:t>
            </w:r>
            <w:r w:rsidRPr="001120D8">
              <w:rPr>
                <w:rFonts w:ascii="Arial" w:hAnsi="Arial" w:cs="Arial"/>
              </w:rPr>
              <w:t>ż</w:t>
            </w:r>
            <w:r>
              <w:rPr>
                <w:rFonts w:ascii="Arial" w:hAnsi="Arial" w:cs="Arial"/>
              </w:rPr>
              <w:t>owanie umów na zakup sprzętu IT oraz wydatk</w:t>
            </w:r>
            <w:r w:rsidRPr="00702B40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w dotycz</w:t>
            </w:r>
            <w:r w:rsidRPr="00702B40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>cych poszczeg</w:t>
            </w:r>
            <w:r w:rsidRPr="00702B40">
              <w:rPr>
                <w:rFonts w:ascii="Arial" w:hAnsi="Arial" w:cs="Arial"/>
              </w:rPr>
              <w:t>ó</w:t>
            </w:r>
            <w:r>
              <w:rPr>
                <w:rFonts w:ascii="Arial" w:hAnsi="Arial" w:cs="Arial"/>
              </w:rPr>
              <w:t>lnych zada</w:t>
            </w:r>
            <w:r w:rsidRPr="00702B40">
              <w:rPr>
                <w:rFonts w:ascii="Arial" w:hAnsi="Arial" w:cs="Arial"/>
              </w:rPr>
              <w:t>ń</w:t>
            </w:r>
            <w:r>
              <w:rPr>
                <w:rFonts w:ascii="Arial" w:hAnsi="Arial" w:cs="Arial"/>
              </w:rPr>
              <w:t xml:space="preserve"> w ramach projektu. </w:t>
            </w:r>
            <w:r w:rsidRPr="001120D8">
              <w:rPr>
                <w:rFonts w:ascii="Arial" w:hAnsi="Arial" w:cs="Arial"/>
              </w:rPr>
              <w:t xml:space="preserve"> </w:t>
            </w:r>
            <w:r w:rsidRPr="00C96831">
              <w:rPr>
                <w:rFonts w:ascii="Arial" w:hAnsi="Arial" w:cs="Arial"/>
              </w:rPr>
              <w:t>Na str</w:t>
            </w:r>
            <w:r>
              <w:rPr>
                <w:rFonts w:ascii="Arial" w:hAnsi="Arial" w:cs="Arial"/>
              </w:rPr>
              <w:t xml:space="preserve">onie </w:t>
            </w:r>
            <w:proofErr w:type="spellStart"/>
            <w:r>
              <w:rPr>
                <w:rFonts w:ascii="Arial" w:hAnsi="Arial" w:cs="Arial"/>
              </w:rPr>
              <w:t>Wn</w:t>
            </w:r>
            <w:proofErr w:type="spellEnd"/>
            <w:r>
              <w:rPr>
                <w:rFonts w:ascii="Arial" w:hAnsi="Arial" w:cs="Arial"/>
              </w:rPr>
              <w:t xml:space="preserve"> ujmuje się równowartość </w:t>
            </w:r>
            <w:r w:rsidRPr="00C96831">
              <w:rPr>
                <w:rFonts w:ascii="Arial" w:hAnsi="Arial" w:cs="Arial"/>
              </w:rPr>
              <w:t>sfinansowanych wydatków budżetowych w danym roku budżetowym, na stronie Ma – zaangażowani</w:t>
            </w:r>
            <w:r>
              <w:rPr>
                <w:rFonts w:ascii="Arial" w:hAnsi="Arial" w:cs="Arial"/>
              </w:rPr>
              <w:t xml:space="preserve">e wydatków, czyli wartość umów. </w:t>
            </w:r>
            <w:r w:rsidRPr="00C96831">
              <w:rPr>
                <w:rFonts w:ascii="Arial" w:hAnsi="Arial" w:cs="Arial"/>
              </w:rPr>
              <w:t>Ewidencję szczegółową prowadzi się wg klasyfikacji budżetowej.</w:t>
            </w:r>
          </w:p>
        </w:tc>
      </w:tr>
      <w:tr w:rsidR="00273637" w:rsidRPr="001040B2" w:rsidTr="00FC7DAC">
        <w:trPr>
          <w:trHeight w:val="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8A0A93" w:rsidP="003447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273637" w:rsidRPr="001040B2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273637" w:rsidP="003447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999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637" w:rsidRPr="001040B2" w:rsidRDefault="00273637" w:rsidP="003447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Zaangażowanie </w:t>
            </w:r>
          </w:p>
          <w:p w:rsidR="00273637" w:rsidRPr="001040B2" w:rsidRDefault="00273637" w:rsidP="003447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 xml:space="preserve">wydatków budżetowych </w:t>
            </w:r>
          </w:p>
          <w:p w:rsidR="00273637" w:rsidRPr="001040B2" w:rsidRDefault="00273637" w:rsidP="003447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40B2">
              <w:rPr>
                <w:rFonts w:ascii="Arial" w:eastAsia="Times New Roman" w:hAnsi="Arial" w:cs="Arial"/>
              </w:rPr>
              <w:t>przyszłych lat</w:t>
            </w:r>
          </w:p>
          <w:p w:rsidR="00273637" w:rsidRPr="001040B2" w:rsidRDefault="00273637" w:rsidP="0034475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44157" w:rsidRDefault="00F44157" w:rsidP="00645C5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Służy do ewidencji </w:t>
            </w:r>
            <w:r w:rsidRPr="00C96831">
              <w:rPr>
                <w:rFonts w:ascii="Arial" w:hAnsi="Arial" w:cs="Arial"/>
              </w:rPr>
              <w:t>zaangażowania wyda</w:t>
            </w:r>
            <w:r>
              <w:rPr>
                <w:rFonts w:ascii="Arial" w:hAnsi="Arial" w:cs="Arial"/>
              </w:rPr>
              <w:t>tków budżetowych przyszłych lat w projekcie.</w:t>
            </w:r>
          </w:p>
          <w:p w:rsidR="00273637" w:rsidRPr="001040B2" w:rsidRDefault="00F44157" w:rsidP="00645C5C">
            <w:pPr>
              <w:spacing w:after="0" w:line="240" w:lineRule="auto"/>
              <w:rPr>
                <w:rFonts w:ascii="Arial" w:hAnsi="Arial" w:cs="Arial"/>
              </w:rPr>
            </w:pPr>
            <w:r w:rsidRPr="00C96831">
              <w:rPr>
                <w:rFonts w:ascii="Arial" w:hAnsi="Arial" w:cs="Arial"/>
              </w:rPr>
              <w:t xml:space="preserve">Ewidencję szczegółową prowadzi się wg klasyfikacji budżetowej.   </w:t>
            </w:r>
          </w:p>
        </w:tc>
      </w:tr>
    </w:tbl>
    <w:p w:rsidR="00DD00C1" w:rsidRPr="001040B2" w:rsidRDefault="00DD00C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B85BBF" w:rsidRDefault="00B85BBF" w:rsidP="0073726B">
      <w:pPr>
        <w:jc w:val="both"/>
        <w:rPr>
          <w:rFonts w:ascii="Arial" w:hAnsi="Arial" w:cs="Arial"/>
          <w:b/>
        </w:rPr>
      </w:pPr>
    </w:p>
    <w:p w:rsidR="0073726B" w:rsidRPr="003D3F8E" w:rsidRDefault="0073726B" w:rsidP="0073726B">
      <w:pPr>
        <w:jc w:val="both"/>
        <w:rPr>
          <w:rFonts w:ascii="Arial" w:hAnsi="Arial" w:cs="Arial"/>
          <w:sz w:val="20"/>
        </w:rPr>
      </w:pPr>
      <w:r w:rsidRPr="003D3F8E">
        <w:rPr>
          <w:rFonts w:ascii="Arial" w:hAnsi="Arial" w:cs="Arial"/>
          <w:b/>
        </w:rPr>
        <w:t>Dodatkowo w celu wyodrębnienia kosztów poszczególnych zadań budżetu Projektu wprowadza się pozabilansowe kont</w:t>
      </w:r>
      <w:r w:rsidR="00725380">
        <w:rPr>
          <w:rFonts w:ascii="Arial" w:hAnsi="Arial" w:cs="Arial"/>
          <w:b/>
        </w:rPr>
        <w:t>o 510</w:t>
      </w:r>
      <w:r w:rsidRPr="003D3F8E">
        <w:rPr>
          <w:rFonts w:ascii="Arial" w:hAnsi="Arial" w:cs="Arial"/>
          <w:b/>
        </w:rPr>
        <w:t xml:space="preserve"> – „Koszty Projektu </w:t>
      </w:r>
      <w:r w:rsidR="00DD6E70">
        <w:rPr>
          <w:rFonts w:ascii="Arial" w:hAnsi="Arial" w:cs="Arial"/>
          <w:b/>
        </w:rPr>
        <w:t>Cyfrowa Gmina</w:t>
      </w:r>
      <w:r w:rsidRPr="003D3F8E">
        <w:rPr>
          <w:rFonts w:ascii="Arial" w:hAnsi="Arial" w:cs="Arial"/>
          <w:b/>
          <w:bCs/>
        </w:rPr>
        <w:t>”</w:t>
      </w:r>
      <w:r w:rsidRPr="003D3F8E">
        <w:rPr>
          <w:rFonts w:ascii="Arial" w:hAnsi="Arial" w:cs="Arial"/>
          <w:b/>
        </w:rPr>
        <w:t xml:space="preserve"> i konto </w:t>
      </w:r>
      <w:r w:rsidR="00DA19A9">
        <w:rPr>
          <w:rFonts w:ascii="Arial" w:hAnsi="Arial" w:cs="Arial"/>
          <w:b/>
        </w:rPr>
        <w:t>490-13</w:t>
      </w:r>
      <w:r w:rsidRPr="009345DE">
        <w:rPr>
          <w:rFonts w:ascii="Arial" w:hAnsi="Arial" w:cs="Arial"/>
          <w:b/>
        </w:rPr>
        <w:t xml:space="preserve"> – </w:t>
      </w:r>
      <w:r w:rsidRPr="003D3F8E">
        <w:rPr>
          <w:rFonts w:ascii="Arial" w:hAnsi="Arial" w:cs="Arial"/>
          <w:b/>
        </w:rPr>
        <w:t xml:space="preserve">„Rozliczenie kosztów Projektu </w:t>
      </w:r>
      <w:r w:rsidR="00DD6E70">
        <w:rPr>
          <w:rFonts w:ascii="Arial" w:hAnsi="Arial" w:cs="Arial"/>
          <w:b/>
        </w:rPr>
        <w:t>Cyfrowa Gmina</w:t>
      </w:r>
      <w:r w:rsidRPr="003D3F8E">
        <w:rPr>
          <w:rFonts w:ascii="Arial" w:hAnsi="Arial" w:cs="Arial"/>
          <w:b/>
          <w:bCs/>
        </w:rPr>
        <w:t>”</w:t>
      </w:r>
      <w:r w:rsidRPr="003D3F8E">
        <w:rPr>
          <w:rFonts w:ascii="Arial" w:hAnsi="Arial" w:cs="Arial"/>
          <w:sz w:val="20"/>
        </w:rPr>
        <w:t xml:space="preserve"> </w:t>
      </w:r>
    </w:p>
    <w:p w:rsidR="005265E5" w:rsidRPr="0073726B" w:rsidRDefault="00642CED" w:rsidP="0073726B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Ewidencja analityczna konta </w:t>
      </w:r>
      <w:r w:rsidR="00DA19A9">
        <w:rPr>
          <w:rFonts w:ascii="Arial" w:hAnsi="Arial" w:cs="Arial"/>
          <w:b/>
        </w:rPr>
        <w:t>510</w:t>
      </w:r>
      <w:r w:rsidR="0073726B" w:rsidRPr="009345DE">
        <w:rPr>
          <w:rFonts w:ascii="Arial" w:hAnsi="Arial" w:cs="Arial"/>
          <w:b/>
        </w:rPr>
        <w:t>:</w:t>
      </w:r>
    </w:p>
    <w:p w:rsidR="00E20E7E" w:rsidRDefault="007B0395" w:rsidP="00347A71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DA19A9">
        <w:rPr>
          <w:rFonts w:ascii="Arial" w:hAnsi="Arial" w:cs="Arial"/>
          <w:b/>
        </w:rPr>
        <w:t>10</w:t>
      </w:r>
      <w:r w:rsidR="0073726B" w:rsidRPr="0073726B">
        <w:rPr>
          <w:rFonts w:ascii="Arial" w:hAnsi="Arial" w:cs="Arial"/>
          <w:b/>
        </w:rPr>
        <w:t>-1</w:t>
      </w:r>
      <w:r w:rsidR="0073726B" w:rsidRPr="0073726B">
        <w:rPr>
          <w:rFonts w:ascii="Arial" w:hAnsi="Arial" w:cs="Arial"/>
        </w:rPr>
        <w:t xml:space="preserve"> – </w:t>
      </w:r>
      <w:r w:rsidR="00E20E7E">
        <w:rPr>
          <w:rFonts w:ascii="Arial" w:hAnsi="Arial" w:cs="Arial"/>
        </w:rPr>
        <w:t>Moduł</w:t>
      </w:r>
      <w:r w:rsidR="003D4072">
        <w:rPr>
          <w:rFonts w:ascii="Arial" w:hAnsi="Arial" w:cs="Arial"/>
        </w:rPr>
        <w:t xml:space="preserve"> 1 – </w:t>
      </w:r>
      <w:r w:rsidR="00E20E7E">
        <w:rPr>
          <w:rFonts w:ascii="Arial" w:hAnsi="Arial" w:cs="Arial"/>
        </w:rPr>
        <w:t>Cyfryzacja: biur, jednostek publicznych, jednostek podległych i</w:t>
      </w:r>
    </w:p>
    <w:p w:rsidR="003D4072" w:rsidRPr="0073726B" w:rsidRDefault="00F761AA" w:rsidP="00347A71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E20E7E">
        <w:rPr>
          <w:rFonts w:ascii="Arial" w:hAnsi="Arial" w:cs="Arial"/>
        </w:rPr>
        <w:t xml:space="preserve">nadzorowanych </w:t>
      </w:r>
    </w:p>
    <w:p w:rsidR="0073726B" w:rsidRDefault="0055612A" w:rsidP="00B85BBF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20E7E">
        <w:rPr>
          <w:rFonts w:ascii="Arial" w:hAnsi="Arial" w:cs="Arial"/>
          <w:b/>
        </w:rPr>
        <w:t>510</w:t>
      </w:r>
      <w:r>
        <w:rPr>
          <w:rFonts w:ascii="Arial" w:hAnsi="Arial" w:cs="Arial"/>
          <w:b/>
        </w:rPr>
        <w:t>-</w:t>
      </w:r>
      <w:r w:rsidR="0073726B" w:rsidRPr="0073726B">
        <w:rPr>
          <w:rFonts w:ascii="Arial" w:hAnsi="Arial" w:cs="Arial"/>
          <w:b/>
        </w:rPr>
        <w:t xml:space="preserve">1-1 </w:t>
      </w:r>
      <w:r w:rsidR="00347A71">
        <w:rPr>
          <w:rFonts w:ascii="Arial" w:hAnsi="Arial" w:cs="Arial"/>
        </w:rPr>
        <w:t>Stacje robocze</w:t>
      </w:r>
    </w:p>
    <w:p w:rsidR="007B044C" w:rsidRPr="0073726B" w:rsidRDefault="007B044C" w:rsidP="00B85BBF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20E7E">
        <w:rPr>
          <w:rFonts w:ascii="Arial" w:hAnsi="Arial" w:cs="Arial"/>
          <w:b/>
        </w:rPr>
        <w:t>510</w:t>
      </w:r>
      <w:r w:rsidRPr="007B044C">
        <w:rPr>
          <w:rFonts w:ascii="Arial" w:hAnsi="Arial" w:cs="Arial"/>
          <w:b/>
        </w:rPr>
        <w:t>-1-2</w:t>
      </w:r>
      <w:r>
        <w:rPr>
          <w:rFonts w:ascii="Arial" w:hAnsi="Arial" w:cs="Arial"/>
        </w:rPr>
        <w:t xml:space="preserve"> </w:t>
      </w:r>
      <w:r w:rsidR="00347A71">
        <w:rPr>
          <w:rFonts w:ascii="Arial" w:hAnsi="Arial" w:cs="Arial"/>
        </w:rPr>
        <w:t>Monitor komputerowy</w:t>
      </w:r>
    </w:p>
    <w:p w:rsidR="007B0395" w:rsidRDefault="0055612A" w:rsidP="00347A71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</w:t>
      </w:r>
      <w:r w:rsidR="00E20E7E">
        <w:rPr>
          <w:rFonts w:ascii="Arial" w:hAnsi="Arial" w:cs="Arial"/>
          <w:b/>
        </w:rPr>
        <w:t>510</w:t>
      </w:r>
      <w:r>
        <w:rPr>
          <w:rFonts w:ascii="Arial" w:hAnsi="Arial" w:cs="Arial"/>
          <w:b/>
        </w:rPr>
        <w:t>-</w:t>
      </w:r>
      <w:r w:rsidR="007B044C">
        <w:rPr>
          <w:rFonts w:ascii="Arial" w:hAnsi="Arial" w:cs="Arial"/>
          <w:b/>
        </w:rPr>
        <w:t>1-3</w:t>
      </w:r>
      <w:r w:rsidR="007B0395">
        <w:rPr>
          <w:rFonts w:ascii="Arial" w:hAnsi="Arial" w:cs="Arial"/>
          <w:b/>
        </w:rPr>
        <w:t xml:space="preserve"> </w:t>
      </w:r>
      <w:r w:rsidR="00347A71">
        <w:rPr>
          <w:rFonts w:ascii="Arial" w:hAnsi="Arial" w:cs="Arial"/>
        </w:rPr>
        <w:t>Laptop</w:t>
      </w:r>
    </w:p>
    <w:p w:rsidR="00E20E7E" w:rsidRDefault="00E20E7E" w:rsidP="00E20E7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>510-</w:t>
      </w:r>
      <w:r w:rsidRPr="0073726B">
        <w:rPr>
          <w:rFonts w:ascii="Arial" w:hAnsi="Arial" w:cs="Arial"/>
          <w:b/>
        </w:rPr>
        <w:t>1-</w:t>
      </w:r>
      <w:r>
        <w:rPr>
          <w:rFonts w:ascii="Arial" w:hAnsi="Arial" w:cs="Arial"/>
          <w:b/>
        </w:rPr>
        <w:t>4</w:t>
      </w:r>
      <w:r w:rsidRPr="0073726B">
        <w:rPr>
          <w:rFonts w:ascii="Arial" w:hAnsi="Arial" w:cs="Arial"/>
          <w:b/>
        </w:rPr>
        <w:t xml:space="preserve"> </w:t>
      </w:r>
      <w:r w:rsidR="00347A71">
        <w:rPr>
          <w:rFonts w:ascii="Arial" w:hAnsi="Arial" w:cs="Arial"/>
        </w:rPr>
        <w:t>Office 365 E3</w:t>
      </w:r>
    </w:p>
    <w:p w:rsidR="00E20E7E" w:rsidRPr="0073726B" w:rsidRDefault="00E20E7E" w:rsidP="00E20E7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>510</w:t>
      </w:r>
      <w:r w:rsidRPr="007B044C">
        <w:rPr>
          <w:rFonts w:ascii="Arial" w:hAnsi="Arial" w:cs="Arial"/>
          <w:b/>
        </w:rPr>
        <w:t>-1-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</w:t>
      </w:r>
      <w:r w:rsidR="00347A71">
        <w:rPr>
          <w:rFonts w:ascii="Arial" w:hAnsi="Arial" w:cs="Arial"/>
        </w:rPr>
        <w:t>Serwer dostępowy</w:t>
      </w:r>
    </w:p>
    <w:p w:rsidR="00E20E7E" w:rsidRDefault="00E20E7E" w:rsidP="00E20E7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510-1-6 </w:t>
      </w:r>
      <w:r w:rsidR="00347A71">
        <w:rPr>
          <w:rFonts w:ascii="Arial" w:hAnsi="Arial" w:cs="Arial"/>
        </w:rPr>
        <w:t>ZOOM</w:t>
      </w:r>
    </w:p>
    <w:p w:rsidR="00E20E7E" w:rsidRPr="0073726B" w:rsidRDefault="00E20E7E" w:rsidP="00E20E7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7A71">
        <w:rPr>
          <w:rFonts w:ascii="Arial" w:hAnsi="Arial" w:cs="Arial"/>
        </w:rPr>
        <w:t xml:space="preserve">        </w:t>
      </w:r>
      <w:r>
        <w:rPr>
          <w:rFonts w:ascii="Arial" w:hAnsi="Arial" w:cs="Arial"/>
          <w:b/>
        </w:rPr>
        <w:t>510</w:t>
      </w:r>
      <w:r w:rsidRPr="007B044C">
        <w:rPr>
          <w:rFonts w:ascii="Arial" w:hAnsi="Arial" w:cs="Arial"/>
          <w:b/>
        </w:rPr>
        <w:t>-1-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 xml:space="preserve"> </w:t>
      </w:r>
      <w:r w:rsidR="004A26F5">
        <w:rPr>
          <w:rFonts w:ascii="Arial" w:hAnsi="Arial" w:cs="Arial"/>
        </w:rPr>
        <w:t>Oprogramowanie/system Portal mieszkańca</w:t>
      </w:r>
    </w:p>
    <w:p w:rsidR="00E20E7E" w:rsidRDefault="00E20E7E" w:rsidP="00E20E7E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       </w:t>
      </w:r>
      <w:r w:rsidR="004A26F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510-1-8  </w:t>
      </w:r>
      <w:r w:rsidR="004A26F5">
        <w:rPr>
          <w:rFonts w:ascii="Arial" w:hAnsi="Arial" w:cs="Arial"/>
        </w:rPr>
        <w:t>Urządzenie wielofunkcyjne z funkcją skanowania</w:t>
      </w:r>
    </w:p>
    <w:p w:rsidR="004A26F5" w:rsidRDefault="00DA19A9" w:rsidP="004A26F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510</w:t>
      </w:r>
      <w:r w:rsidR="007B0395">
        <w:rPr>
          <w:rFonts w:ascii="Arial" w:hAnsi="Arial" w:cs="Arial"/>
          <w:b/>
        </w:rPr>
        <w:t>-2</w:t>
      </w:r>
      <w:r w:rsidR="00475490" w:rsidRPr="0073726B">
        <w:rPr>
          <w:rFonts w:ascii="Arial" w:hAnsi="Arial" w:cs="Arial"/>
          <w:b/>
        </w:rPr>
        <w:t xml:space="preserve"> </w:t>
      </w:r>
      <w:r w:rsidR="004A26F5" w:rsidRPr="0073726B">
        <w:rPr>
          <w:rFonts w:ascii="Arial" w:hAnsi="Arial" w:cs="Arial"/>
        </w:rPr>
        <w:t xml:space="preserve">– </w:t>
      </w:r>
      <w:r w:rsidR="004A26F5">
        <w:rPr>
          <w:rFonts w:ascii="Arial" w:hAnsi="Arial" w:cs="Arial"/>
        </w:rPr>
        <w:t xml:space="preserve">Moduł 2 – Zakup sprzętu IT dla szkół i placówek specjalnych </w:t>
      </w:r>
    </w:p>
    <w:p w:rsidR="00F761AA" w:rsidRDefault="004A26F5" w:rsidP="00B85BBF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510-</w:t>
      </w:r>
      <w:r w:rsidR="00F761AA">
        <w:rPr>
          <w:rFonts w:ascii="Arial" w:hAnsi="Arial" w:cs="Arial"/>
          <w:b/>
        </w:rPr>
        <w:t>2</w:t>
      </w:r>
      <w:r w:rsidRPr="0073726B">
        <w:rPr>
          <w:rFonts w:ascii="Arial" w:hAnsi="Arial" w:cs="Arial"/>
          <w:b/>
        </w:rPr>
        <w:t xml:space="preserve">-1 </w:t>
      </w:r>
      <w:r w:rsidR="00F761AA">
        <w:rPr>
          <w:rFonts w:ascii="Arial" w:hAnsi="Arial" w:cs="Arial"/>
        </w:rPr>
        <w:t>Laptopy</w:t>
      </w:r>
      <w:r w:rsidR="0055612A" w:rsidRPr="00B85BBF">
        <w:rPr>
          <w:rFonts w:ascii="Arial" w:hAnsi="Arial" w:cs="Arial"/>
        </w:rPr>
        <w:t xml:space="preserve">  </w:t>
      </w:r>
    </w:p>
    <w:p w:rsidR="00F761AA" w:rsidRDefault="00F761AA" w:rsidP="00B85BBF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510-2</w:t>
      </w:r>
      <w:r w:rsidR="00725380">
        <w:rPr>
          <w:rFonts w:ascii="Arial" w:hAnsi="Arial" w:cs="Arial"/>
          <w:b/>
        </w:rPr>
        <w:t>-2</w:t>
      </w:r>
      <w:r w:rsidRPr="0073726B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Stacja robocza, monitor, oprogramowanie Office</w:t>
      </w:r>
      <w:r w:rsidRPr="00B85BBF">
        <w:rPr>
          <w:rFonts w:ascii="Arial" w:hAnsi="Arial" w:cs="Arial"/>
        </w:rPr>
        <w:t xml:space="preserve">      </w:t>
      </w:r>
    </w:p>
    <w:p w:rsidR="00F761AA" w:rsidRDefault="00F761AA" w:rsidP="00F761AA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510-3</w:t>
      </w:r>
      <w:r w:rsidRPr="0073726B">
        <w:rPr>
          <w:rFonts w:ascii="Arial" w:hAnsi="Arial" w:cs="Arial"/>
          <w:b/>
        </w:rPr>
        <w:t xml:space="preserve"> </w:t>
      </w:r>
      <w:r w:rsidRPr="007372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Moduł 3 – Edukacja cyfrowa dla urzędników </w:t>
      </w:r>
    </w:p>
    <w:p w:rsidR="00F761AA" w:rsidRDefault="00F761AA" w:rsidP="00F761AA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510-3</w:t>
      </w:r>
      <w:r w:rsidRPr="0073726B">
        <w:rPr>
          <w:rFonts w:ascii="Arial" w:hAnsi="Arial" w:cs="Arial"/>
          <w:b/>
        </w:rPr>
        <w:t xml:space="preserve">-1 </w:t>
      </w:r>
      <w:r>
        <w:rPr>
          <w:rFonts w:ascii="Arial" w:hAnsi="Arial" w:cs="Arial"/>
        </w:rPr>
        <w:t>Szkolenie dla pracowników IT w zakresie bezpieczeństwa danych</w:t>
      </w:r>
      <w:r w:rsidRPr="00B85BBF">
        <w:rPr>
          <w:rFonts w:ascii="Arial" w:hAnsi="Arial" w:cs="Arial"/>
        </w:rPr>
        <w:t xml:space="preserve">  </w:t>
      </w:r>
    </w:p>
    <w:p w:rsidR="00F761AA" w:rsidRDefault="00F761AA" w:rsidP="00AE442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510-4</w:t>
      </w:r>
      <w:r w:rsidRPr="0073726B">
        <w:rPr>
          <w:rFonts w:ascii="Arial" w:hAnsi="Arial" w:cs="Arial"/>
          <w:b/>
        </w:rPr>
        <w:t xml:space="preserve"> </w:t>
      </w:r>
      <w:r w:rsidRPr="0073726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Moduł 4 - Zapewnienie cyberbezpieczeństwa samorządowych systemów</w:t>
      </w:r>
    </w:p>
    <w:p w:rsidR="00F761AA" w:rsidRDefault="00F761AA" w:rsidP="00AE442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informatycznych</w:t>
      </w:r>
    </w:p>
    <w:p w:rsidR="00F761AA" w:rsidRDefault="00F761AA" w:rsidP="00F761AA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510-</w:t>
      </w:r>
      <w:r w:rsidR="001B1D5D">
        <w:rPr>
          <w:rFonts w:ascii="Arial" w:hAnsi="Arial" w:cs="Arial"/>
          <w:b/>
        </w:rPr>
        <w:t>4</w:t>
      </w:r>
      <w:r w:rsidRPr="0073726B">
        <w:rPr>
          <w:rFonts w:ascii="Arial" w:hAnsi="Arial" w:cs="Arial"/>
          <w:b/>
        </w:rPr>
        <w:t xml:space="preserve">-1 </w:t>
      </w:r>
      <w:r w:rsidR="001B1D5D">
        <w:rPr>
          <w:rFonts w:ascii="Arial" w:hAnsi="Arial" w:cs="Arial"/>
        </w:rPr>
        <w:t>Diagnoza cyberbezpieczeństwa</w:t>
      </w:r>
    </w:p>
    <w:p w:rsidR="00F761AA" w:rsidRPr="0073726B" w:rsidRDefault="00F761AA" w:rsidP="00F761AA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510</w:t>
      </w:r>
      <w:r w:rsidR="001B1D5D">
        <w:rPr>
          <w:rFonts w:ascii="Arial" w:hAnsi="Arial" w:cs="Arial"/>
          <w:b/>
        </w:rPr>
        <w:t>-4</w:t>
      </w:r>
      <w:r w:rsidRPr="007B044C">
        <w:rPr>
          <w:rFonts w:ascii="Arial" w:hAnsi="Arial" w:cs="Arial"/>
          <w:b/>
        </w:rPr>
        <w:t>-2</w:t>
      </w:r>
      <w:r>
        <w:rPr>
          <w:rFonts w:ascii="Arial" w:hAnsi="Arial" w:cs="Arial"/>
        </w:rPr>
        <w:t xml:space="preserve"> </w:t>
      </w:r>
      <w:r w:rsidR="001B1D5D">
        <w:rPr>
          <w:rFonts w:ascii="Arial" w:hAnsi="Arial" w:cs="Arial"/>
        </w:rPr>
        <w:t xml:space="preserve">Rozbudowa zabezpieczeń logicznych </w:t>
      </w:r>
    </w:p>
    <w:p w:rsidR="00F761AA" w:rsidRDefault="00F761AA" w:rsidP="00F761AA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510-</w:t>
      </w:r>
      <w:r w:rsidR="001B1D5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-3 </w:t>
      </w:r>
      <w:r w:rsidR="001B1D5D">
        <w:rPr>
          <w:rFonts w:ascii="Arial" w:hAnsi="Arial" w:cs="Arial"/>
        </w:rPr>
        <w:t>System Zarządzania Bezpieczeństwem Informacji</w:t>
      </w:r>
    </w:p>
    <w:p w:rsidR="00F761AA" w:rsidRDefault="00F761AA" w:rsidP="00F761AA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>510-</w:t>
      </w:r>
      <w:r w:rsidR="001B1D5D">
        <w:rPr>
          <w:rFonts w:ascii="Arial" w:hAnsi="Arial" w:cs="Arial"/>
          <w:b/>
        </w:rPr>
        <w:t>4</w:t>
      </w:r>
      <w:r w:rsidRPr="0073726B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4</w:t>
      </w:r>
      <w:r w:rsidRPr="0073726B">
        <w:rPr>
          <w:rFonts w:ascii="Arial" w:hAnsi="Arial" w:cs="Arial"/>
          <w:b/>
        </w:rPr>
        <w:t xml:space="preserve"> </w:t>
      </w:r>
      <w:r w:rsidR="001B1D5D">
        <w:rPr>
          <w:rFonts w:ascii="Arial" w:hAnsi="Arial" w:cs="Arial"/>
        </w:rPr>
        <w:t>System monitoringu dostępu do sieci</w:t>
      </w:r>
    </w:p>
    <w:p w:rsidR="00FA0BF8" w:rsidRPr="00B85BBF" w:rsidRDefault="00F761AA" w:rsidP="00B85BBF">
      <w:pPr>
        <w:spacing w:before="120" w:after="120" w:line="240" w:lineRule="auto"/>
        <w:jc w:val="both"/>
        <w:rPr>
          <w:rFonts w:ascii="Arial" w:hAnsi="Arial" w:cs="Arial"/>
        </w:rPr>
      </w:pPr>
      <w:r w:rsidRPr="00B85BBF">
        <w:rPr>
          <w:rFonts w:ascii="Arial" w:hAnsi="Arial" w:cs="Arial"/>
        </w:rPr>
        <w:t xml:space="preserve">  </w:t>
      </w:r>
      <w:r w:rsidR="0055612A" w:rsidRPr="00B85BBF">
        <w:rPr>
          <w:rFonts w:ascii="Arial" w:hAnsi="Arial" w:cs="Arial"/>
        </w:rPr>
        <w:t xml:space="preserve">        </w:t>
      </w:r>
    </w:p>
    <w:p w:rsidR="001B1D5D" w:rsidRDefault="00D66402">
      <w:pPr>
        <w:spacing w:after="0" w:line="360" w:lineRule="auto"/>
        <w:jc w:val="both"/>
        <w:rPr>
          <w:rFonts w:ascii="Arial" w:hAnsi="Arial" w:cs="Arial"/>
          <w:b/>
        </w:rPr>
      </w:pPr>
      <w:r w:rsidRPr="001040B2">
        <w:rPr>
          <w:rFonts w:ascii="Arial" w:eastAsia="Times New Roman" w:hAnsi="Arial" w:cs="Arial"/>
          <w:b/>
        </w:rPr>
        <w:t xml:space="preserve">Ewidencja operacji księgowych współfinansowanych ze </w:t>
      </w:r>
      <w:r w:rsidR="001B1D5D">
        <w:rPr>
          <w:rFonts w:ascii="Arial" w:hAnsi="Arial" w:cs="Arial"/>
          <w:b/>
          <w:bCs/>
        </w:rPr>
        <w:t xml:space="preserve">środków Europejskiego Funduszu Rozwoju Regionalnego, </w:t>
      </w:r>
      <w:r w:rsidR="001B1D5D">
        <w:rPr>
          <w:rFonts w:ascii="Arial" w:hAnsi="Arial" w:cs="Arial"/>
          <w:b/>
        </w:rPr>
        <w:t>Program Operacyjny Polska Cyfrowa.</w:t>
      </w:r>
    </w:p>
    <w:p w:rsidR="00DD00C1" w:rsidRPr="001040B2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Dokumenty zewnętrzne opisywane będą na odwrocie dokumentu, a w przypadku braku miejsca na oddzielnej kartce, trwale połączonej z dokumentem zszywkami.</w:t>
      </w:r>
    </w:p>
    <w:p w:rsidR="00DD00C1" w:rsidRPr="001040B2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Klasyfikacja paragrafów wydatków i środków jest czterocyfrowa. Czwartą cyfrą w przypadku projektów współfinansowanych z Unii Europejskiej są odpowiednio :</w:t>
      </w:r>
    </w:p>
    <w:p w:rsidR="00DD00C1" w:rsidRDefault="00D66402" w:rsidP="00AE4426">
      <w:pPr>
        <w:spacing w:line="360" w:lineRule="auto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- 7 – współfinansowanie programów i projektów ze środków europejskich</w:t>
      </w:r>
    </w:p>
    <w:p w:rsidR="00AE4426" w:rsidRDefault="00AE4426" w:rsidP="00AE4426">
      <w:pPr>
        <w:spacing w:line="360" w:lineRule="auto"/>
        <w:jc w:val="both"/>
        <w:rPr>
          <w:rFonts w:ascii="Arial" w:hAnsi="Arial" w:cs="Arial"/>
        </w:rPr>
      </w:pPr>
      <w:r w:rsidRPr="00713091">
        <w:rPr>
          <w:rFonts w:ascii="Arial" w:hAnsi="Arial" w:cs="Arial"/>
        </w:rPr>
        <w:t>Wydatki księgowane są wg klasyfikacji budżetowej – w różnych działach i rozdziałach (zgodnie z zakresem merytorycznym zadania) oraz odpowiedniego §.</w:t>
      </w:r>
    </w:p>
    <w:p w:rsidR="009D437A" w:rsidRDefault="009D437A" w:rsidP="009D437A">
      <w:pPr>
        <w:spacing w:line="360" w:lineRule="auto"/>
        <w:jc w:val="both"/>
        <w:rPr>
          <w:rFonts w:ascii="Arial" w:hAnsi="Arial" w:cs="Arial"/>
          <w:b/>
        </w:rPr>
      </w:pPr>
      <w:r w:rsidRPr="00AA0446">
        <w:rPr>
          <w:rFonts w:ascii="Arial" w:hAnsi="Arial" w:cs="Arial"/>
          <w:b/>
        </w:rPr>
        <w:t>Przykładowe operacje księgowe:</w:t>
      </w:r>
    </w:p>
    <w:p w:rsidR="009D437A" w:rsidRPr="001040B2" w:rsidRDefault="009D437A" w:rsidP="009D437A">
      <w:pPr>
        <w:spacing w:line="360" w:lineRule="auto"/>
        <w:jc w:val="both"/>
        <w:rPr>
          <w:rFonts w:ascii="Arial" w:hAnsi="Arial" w:cs="Arial"/>
          <w:b/>
        </w:rPr>
      </w:pPr>
      <w:r w:rsidRPr="001040B2">
        <w:rPr>
          <w:rFonts w:ascii="Arial" w:hAnsi="Arial" w:cs="Arial"/>
          <w:b/>
        </w:rPr>
        <w:t>Konta bilansowe:</w:t>
      </w:r>
    </w:p>
    <w:p w:rsidR="009D437A" w:rsidRPr="0043399F" w:rsidRDefault="009D437A" w:rsidP="00DB4CA9">
      <w:pPr>
        <w:pStyle w:val="Akapitzlist"/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3399F">
        <w:rPr>
          <w:rFonts w:ascii="Arial" w:hAnsi="Arial" w:cs="Arial"/>
          <w:sz w:val="22"/>
          <w:szCs w:val="22"/>
        </w:rPr>
        <w:t>Zakupy inwestycyjne</w:t>
      </w:r>
    </w:p>
    <w:p w:rsidR="009D437A" w:rsidRPr="0043399F" w:rsidRDefault="009D437A" w:rsidP="00DB4CA9">
      <w:pPr>
        <w:spacing w:after="0" w:line="276" w:lineRule="auto"/>
        <w:jc w:val="both"/>
        <w:rPr>
          <w:rFonts w:ascii="Arial" w:hAnsi="Arial" w:cs="Arial"/>
        </w:rPr>
      </w:pPr>
      <w:r w:rsidRPr="0043399F">
        <w:rPr>
          <w:rFonts w:ascii="Arial" w:hAnsi="Arial" w:cs="Arial"/>
        </w:rPr>
        <w:t xml:space="preserve">            </w:t>
      </w:r>
      <w:proofErr w:type="spellStart"/>
      <w:r w:rsidRPr="0043399F">
        <w:rPr>
          <w:rFonts w:ascii="Arial" w:hAnsi="Arial" w:cs="Arial"/>
        </w:rPr>
        <w:t>Wn</w:t>
      </w:r>
      <w:proofErr w:type="spellEnd"/>
      <w:r w:rsidRPr="0043399F">
        <w:rPr>
          <w:rFonts w:ascii="Arial" w:hAnsi="Arial" w:cs="Arial"/>
        </w:rPr>
        <w:t xml:space="preserve"> 080-2 / Ma-201-1 faktura za zakupy (rachunek) </w:t>
      </w:r>
    </w:p>
    <w:p w:rsidR="009D437A" w:rsidRPr="0043399F" w:rsidRDefault="009D437A" w:rsidP="00DB4CA9">
      <w:pPr>
        <w:spacing w:after="0" w:line="276" w:lineRule="auto"/>
        <w:jc w:val="both"/>
        <w:rPr>
          <w:rFonts w:ascii="Arial" w:hAnsi="Arial" w:cs="Arial"/>
        </w:rPr>
      </w:pPr>
      <w:r w:rsidRPr="0043399F">
        <w:rPr>
          <w:rFonts w:ascii="Arial" w:hAnsi="Arial" w:cs="Arial"/>
        </w:rPr>
        <w:t xml:space="preserve">            </w:t>
      </w:r>
      <w:proofErr w:type="spellStart"/>
      <w:r w:rsidRPr="0043399F">
        <w:rPr>
          <w:rFonts w:ascii="Arial" w:hAnsi="Arial" w:cs="Arial"/>
        </w:rPr>
        <w:t>Wn</w:t>
      </w:r>
      <w:proofErr w:type="spellEnd"/>
      <w:r w:rsidRPr="0043399F">
        <w:rPr>
          <w:rFonts w:ascii="Arial" w:hAnsi="Arial" w:cs="Arial"/>
        </w:rPr>
        <w:t xml:space="preserve"> 810-2</w:t>
      </w:r>
      <w:r>
        <w:rPr>
          <w:rFonts w:ascii="Arial" w:hAnsi="Arial" w:cs="Arial"/>
        </w:rPr>
        <w:t>-4</w:t>
      </w:r>
      <w:r w:rsidRPr="0043399F">
        <w:rPr>
          <w:rFonts w:ascii="Arial" w:hAnsi="Arial" w:cs="Arial"/>
        </w:rPr>
        <w:t xml:space="preserve"> / Ma 800</w:t>
      </w:r>
      <w:r>
        <w:rPr>
          <w:rFonts w:ascii="Arial" w:hAnsi="Arial" w:cs="Arial"/>
        </w:rPr>
        <w:t>-4</w:t>
      </w:r>
    </w:p>
    <w:p w:rsidR="009D437A" w:rsidRPr="0043399F" w:rsidRDefault="009D437A" w:rsidP="00DB4CA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9F">
        <w:rPr>
          <w:rFonts w:ascii="Arial" w:hAnsi="Arial" w:cs="Arial"/>
          <w:sz w:val="22"/>
          <w:szCs w:val="22"/>
        </w:rPr>
        <w:t xml:space="preserve">Zakupy bieżące </w:t>
      </w:r>
    </w:p>
    <w:p w:rsidR="009D437A" w:rsidRPr="0043399F" w:rsidRDefault="009D437A" w:rsidP="00DB4CA9">
      <w:pPr>
        <w:spacing w:after="0" w:line="360" w:lineRule="auto"/>
        <w:jc w:val="both"/>
        <w:rPr>
          <w:rFonts w:ascii="Arial" w:hAnsi="Arial" w:cs="Arial"/>
        </w:rPr>
      </w:pPr>
      <w:r w:rsidRPr="0043399F">
        <w:rPr>
          <w:rFonts w:ascii="Arial" w:hAnsi="Arial" w:cs="Arial"/>
        </w:rPr>
        <w:tab/>
      </w:r>
      <w:proofErr w:type="spellStart"/>
      <w:r w:rsidRPr="0043399F">
        <w:rPr>
          <w:rFonts w:ascii="Arial" w:hAnsi="Arial" w:cs="Arial"/>
        </w:rPr>
        <w:t>Wn</w:t>
      </w:r>
      <w:proofErr w:type="spellEnd"/>
      <w:r w:rsidRPr="0043399F">
        <w:rPr>
          <w:rFonts w:ascii="Arial" w:hAnsi="Arial" w:cs="Arial"/>
        </w:rPr>
        <w:t xml:space="preserve"> 402/Ma 201-1 faktura za zakupy (rachunek) </w:t>
      </w:r>
    </w:p>
    <w:p w:rsidR="009D437A" w:rsidRPr="0043399F" w:rsidRDefault="009D437A" w:rsidP="00DB4CA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3399F">
        <w:rPr>
          <w:rFonts w:ascii="Arial" w:hAnsi="Arial" w:cs="Arial"/>
          <w:sz w:val="22"/>
          <w:szCs w:val="22"/>
        </w:rPr>
        <w:t>Zapłata faktury (rachunku)</w:t>
      </w:r>
    </w:p>
    <w:p w:rsidR="009D437A" w:rsidRPr="0043399F" w:rsidRDefault="009D437A" w:rsidP="00DB4CA9">
      <w:pPr>
        <w:spacing w:after="0" w:line="360" w:lineRule="auto"/>
        <w:ind w:left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Wn</w:t>
      </w:r>
      <w:proofErr w:type="spellEnd"/>
      <w:r>
        <w:rPr>
          <w:rFonts w:ascii="Arial" w:hAnsi="Arial" w:cs="Arial"/>
        </w:rPr>
        <w:t xml:space="preserve"> 201-1 / Ma 130-2-23</w:t>
      </w:r>
      <w:r w:rsidRPr="0043399F">
        <w:rPr>
          <w:rFonts w:ascii="Arial" w:hAnsi="Arial" w:cs="Arial"/>
        </w:rPr>
        <w:t xml:space="preserve">-2 (wydatek)  </w:t>
      </w:r>
    </w:p>
    <w:p w:rsidR="009D437A" w:rsidRDefault="009D437A" w:rsidP="00DB4CA9">
      <w:pPr>
        <w:pStyle w:val="Akapitzlist"/>
        <w:numPr>
          <w:ilvl w:val="0"/>
          <w:numId w:val="8"/>
        </w:num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3399F">
        <w:rPr>
          <w:rFonts w:ascii="Arial" w:hAnsi="Arial" w:cs="Arial"/>
          <w:sz w:val="22"/>
          <w:szCs w:val="22"/>
        </w:rPr>
        <w:t xml:space="preserve">Rozliczenie nakładów inwestycyjnych </w:t>
      </w:r>
    </w:p>
    <w:p w:rsidR="009D437A" w:rsidRPr="0043399F" w:rsidRDefault="009D437A" w:rsidP="009D437A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Wn</w:t>
      </w:r>
      <w:proofErr w:type="spellEnd"/>
      <w:r>
        <w:rPr>
          <w:rFonts w:ascii="Arial" w:hAnsi="Arial" w:cs="Arial"/>
          <w:sz w:val="22"/>
          <w:szCs w:val="22"/>
        </w:rPr>
        <w:t xml:space="preserve"> 011/ Ma 080-2 </w:t>
      </w:r>
      <w:r w:rsidRPr="0043399F">
        <w:rPr>
          <w:rFonts w:ascii="Arial" w:hAnsi="Arial" w:cs="Arial"/>
          <w:sz w:val="22"/>
          <w:szCs w:val="22"/>
        </w:rPr>
        <w:t>(przyjęcie środka trwałego)</w:t>
      </w:r>
      <w:r>
        <w:rPr>
          <w:rFonts w:ascii="Arial" w:hAnsi="Arial" w:cs="Arial"/>
          <w:sz w:val="22"/>
          <w:szCs w:val="22"/>
        </w:rPr>
        <w:t>.</w:t>
      </w:r>
    </w:p>
    <w:p w:rsidR="00C76C5A" w:rsidRPr="001040B2" w:rsidRDefault="00C76C5A" w:rsidP="00D465D0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D437A" w:rsidRPr="00AA0446" w:rsidRDefault="009D437A" w:rsidP="009D437A">
      <w:pPr>
        <w:spacing w:line="360" w:lineRule="auto"/>
        <w:jc w:val="both"/>
        <w:rPr>
          <w:rFonts w:ascii="Arial" w:hAnsi="Arial" w:cs="Arial"/>
          <w:b/>
        </w:rPr>
      </w:pPr>
      <w:r w:rsidRPr="00AA0446">
        <w:rPr>
          <w:rFonts w:ascii="Arial" w:hAnsi="Arial" w:cs="Arial"/>
          <w:b/>
        </w:rPr>
        <w:lastRenderedPageBreak/>
        <w:t>Konta pozabilansowe:</w:t>
      </w:r>
    </w:p>
    <w:p w:rsidR="009D437A" w:rsidRDefault="009D437A" w:rsidP="009D437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5317">
        <w:rPr>
          <w:rFonts w:ascii="Arial" w:hAnsi="Arial" w:cs="Arial"/>
          <w:sz w:val="22"/>
          <w:szCs w:val="22"/>
        </w:rPr>
        <w:t xml:space="preserve">Na stronie </w:t>
      </w:r>
      <w:proofErr w:type="spellStart"/>
      <w:r w:rsidRPr="00EC5317">
        <w:rPr>
          <w:rFonts w:ascii="Arial" w:hAnsi="Arial" w:cs="Arial"/>
          <w:sz w:val="22"/>
          <w:szCs w:val="22"/>
        </w:rPr>
        <w:t>Wn</w:t>
      </w:r>
      <w:proofErr w:type="spellEnd"/>
      <w:r w:rsidRPr="00EC5317">
        <w:rPr>
          <w:rFonts w:ascii="Arial" w:hAnsi="Arial" w:cs="Arial"/>
          <w:sz w:val="22"/>
          <w:szCs w:val="22"/>
        </w:rPr>
        <w:t xml:space="preserve"> konta 019 księguje się zakup pozostałych środków trwałych – przedmiotów </w:t>
      </w:r>
      <w:proofErr w:type="spellStart"/>
      <w:r w:rsidRPr="00EC5317">
        <w:rPr>
          <w:rFonts w:ascii="Arial" w:hAnsi="Arial" w:cs="Arial"/>
          <w:sz w:val="22"/>
          <w:szCs w:val="22"/>
        </w:rPr>
        <w:t>niskocennych</w:t>
      </w:r>
      <w:proofErr w:type="spellEnd"/>
      <w:r w:rsidRPr="00EC5317">
        <w:rPr>
          <w:rFonts w:ascii="Arial" w:hAnsi="Arial" w:cs="Arial"/>
          <w:sz w:val="22"/>
          <w:szCs w:val="22"/>
        </w:rPr>
        <w:t xml:space="preserve"> wydanych do użytkowania. </w:t>
      </w:r>
    </w:p>
    <w:p w:rsidR="00AE4426" w:rsidRPr="00EC5317" w:rsidRDefault="00AE4426" w:rsidP="00AE44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C5317">
        <w:rPr>
          <w:rFonts w:ascii="Arial" w:hAnsi="Arial" w:cs="Arial"/>
          <w:sz w:val="22"/>
          <w:szCs w:val="22"/>
        </w:rPr>
        <w:t xml:space="preserve">Zaangażowane wydatki roku bieżącego księgowane są na stronie Ma konta 998 na podstawie podpisanych umów. Zrealizowane wydatki budżetowe ewidencjonowane są na stronie </w:t>
      </w:r>
      <w:proofErr w:type="spellStart"/>
      <w:r w:rsidRPr="00EC5317">
        <w:rPr>
          <w:rFonts w:ascii="Arial" w:hAnsi="Arial" w:cs="Arial"/>
          <w:sz w:val="22"/>
          <w:szCs w:val="22"/>
        </w:rPr>
        <w:t>Wn</w:t>
      </w:r>
      <w:proofErr w:type="spellEnd"/>
      <w:r w:rsidRPr="00EC5317">
        <w:rPr>
          <w:rFonts w:ascii="Arial" w:hAnsi="Arial" w:cs="Arial"/>
          <w:sz w:val="22"/>
          <w:szCs w:val="22"/>
        </w:rPr>
        <w:t xml:space="preserve"> konta 998 na koniec okresu sprawozdawczego jednocześnie z wydatkiem. </w:t>
      </w:r>
    </w:p>
    <w:p w:rsidR="00AE4426" w:rsidRDefault="00AE4426" w:rsidP="00AE44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683A">
        <w:rPr>
          <w:rFonts w:ascii="Arial" w:hAnsi="Arial" w:cs="Arial"/>
          <w:sz w:val="22"/>
          <w:szCs w:val="22"/>
        </w:rPr>
        <w:t>Zrealizowane koszty wg zadań budżetu Projektu</w:t>
      </w:r>
      <w:r w:rsidR="00725380">
        <w:rPr>
          <w:rFonts w:ascii="Arial" w:hAnsi="Arial" w:cs="Arial"/>
          <w:sz w:val="22"/>
          <w:szCs w:val="22"/>
        </w:rPr>
        <w:t xml:space="preserve"> księgowane są na koncie </w:t>
      </w:r>
      <w:proofErr w:type="spellStart"/>
      <w:r w:rsidR="00725380">
        <w:rPr>
          <w:rFonts w:ascii="Arial" w:hAnsi="Arial" w:cs="Arial"/>
          <w:sz w:val="22"/>
          <w:szCs w:val="22"/>
        </w:rPr>
        <w:t>Wn</w:t>
      </w:r>
      <w:proofErr w:type="spellEnd"/>
      <w:r w:rsidR="00725380">
        <w:rPr>
          <w:rFonts w:ascii="Arial" w:hAnsi="Arial" w:cs="Arial"/>
          <w:sz w:val="22"/>
          <w:szCs w:val="22"/>
        </w:rPr>
        <w:t xml:space="preserve"> 510 </w:t>
      </w:r>
      <w:r w:rsidRPr="0004683A">
        <w:rPr>
          <w:rFonts w:ascii="Arial" w:hAnsi="Arial" w:cs="Arial"/>
          <w:color w:val="000000" w:themeColor="text1"/>
          <w:sz w:val="22"/>
          <w:szCs w:val="22"/>
        </w:rPr>
        <w:t>(od</w:t>
      </w:r>
      <w:r w:rsidR="00725380">
        <w:rPr>
          <w:rFonts w:ascii="Arial" w:hAnsi="Arial" w:cs="Arial"/>
          <w:color w:val="000000" w:themeColor="text1"/>
          <w:sz w:val="22"/>
          <w:szCs w:val="22"/>
        </w:rPr>
        <w:t>powiednia analityka) / Ma 490-13</w:t>
      </w:r>
      <w:r w:rsidRPr="0004683A">
        <w:rPr>
          <w:rFonts w:ascii="Arial" w:hAnsi="Arial" w:cs="Arial"/>
          <w:color w:val="000000" w:themeColor="text1"/>
          <w:sz w:val="22"/>
          <w:szCs w:val="22"/>
        </w:rPr>
        <w:t>. Rozliczenie powyższych kosztów księgowane jest odwrotnym zapisem. Rozlicznie kosztów wg zadań budżetu Projektu dokonywane jest na koniec każdego roku budżetowego.</w:t>
      </w:r>
    </w:p>
    <w:p w:rsidR="00AE4426" w:rsidRPr="00F31AA0" w:rsidRDefault="00AE4426" w:rsidP="00AE442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6831">
        <w:rPr>
          <w:rFonts w:ascii="Arial" w:hAnsi="Arial" w:cs="Arial"/>
          <w:sz w:val="22"/>
          <w:szCs w:val="22"/>
        </w:rPr>
        <w:t>Zaangażowane wydatki przyszłych okresów księgowane są na stronie Ma konta 999 na podstawie podpisanych umów.</w:t>
      </w:r>
    </w:p>
    <w:p w:rsidR="00725380" w:rsidRDefault="00D66402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1040B2">
        <w:rPr>
          <w:rFonts w:ascii="Arial" w:eastAsia="Times New Roman" w:hAnsi="Arial" w:cs="Arial"/>
        </w:rPr>
        <w:t xml:space="preserve"> </w:t>
      </w:r>
      <w:r w:rsidRPr="001040B2">
        <w:rPr>
          <w:rFonts w:ascii="Arial" w:eastAsia="Times New Roman" w:hAnsi="Arial" w:cs="Arial"/>
          <w:b/>
        </w:rPr>
        <w:t xml:space="preserve">III Zestawienia obrotów i sald kont księgi głównej oraz kont ksiąg pomocniczych </w:t>
      </w:r>
    </w:p>
    <w:p w:rsidR="00DD00C1" w:rsidRPr="001040B2" w:rsidRDefault="00725380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    </w:t>
      </w:r>
      <w:r w:rsidR="00D66402" w:rsidRPr="001040B2">
        <w:rPr>
          <w:rFonts w:ascii="Arial" w:eastAsia="Times New Roman" w:hAnsi="Arial" w:cs="Arial"/>
          <w:b/>
        </w:rPr>
        <w:t>projektu</w:t>
      </w:r>
    </w:p>
    <w:p w:rsidR="00DD00C1" w:rsidRPr="001040B2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 xml:space="preserve">Wydruk tego zestawienia zabezpiecza program komputerowy i dodatkowo potwierdza prawidłowość wyodrębnienia księgowego danego projektu. Najpóźniej na koniec roku </w:t>
      </w:r>
      <w:r w:rsidR="00C51CE5">
        <w:rPr>
          <w:rFonts w:ascii="Arial" w:eastAsia="Times New Roman" w:hAnsi="Arial" w:cs="Arial"/>
        </w:rPr>
        <w:t xml:space="preserve">        </w:t>
      </w:r>
      <w:r w:rsidRPr="001040B2">
        <w:rPr>
          <w:rFonts w:ascii="Arial" w:eastAsia="Times New Roman" w:hAnsi="Arial" w:cs="Arial"/>
        </w:rPr>
        <w:t>(po dokonaniu audytu finansowego projektu) następuje zapis tego zestawienia oraz dziennika projektu na trwałym informatycznym nośniku.</w:t>
      </w:r>
    </w:p>
    <w:p w:rsidR="00DD00C1" w:rsidRPr="001040B2" w:rsidRDefault="00DD00C1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DD00C1" w:rsidRPr="001040B2" w:rsidRDefault="00D66402">
      <w:pPr>
        <w:spacing w:after="0" w:line="360" w:lineRule="auto"/>
        <w:rPr>
          <w:rFonts w:ascii="Arial" w:eastAsia="Times New Roman" w:hAnsi="Arial" w:cs="Arial"/>
          <w:b/>
        </w:rPr>
      </w:pPr>
      <w:r w:rsidRPr="001040B2">
        <w:rPr>
          <w:rFonts w:ascii="Arial" w:eastAsia="Times New Roman" w:hAnsi="Arial" w:cs="Arial"/>
          <w:b/>
        </w:rPr>
        <w:t>IV</w:t>
      </w:r>
      <w:r w:rsidRPr="001040B2">
        <w:rPr>
          <w:rFonts w:ascii="Arial" w:eastAsia="Times New Roman" w:hAnsi="Arial" w:cs="Arial"/>
        </w:rPr>
        <w:t xml:space="preserve"> </w:t>
      </w:r>
      <w:r w:rsidRPr="001040B2">
        <w:rPr>
          <w:rFonts w:ascii="Arial" w:eastAsia="Times New Roman" w:hAnsi="Arial" w:cs="Arial"/>
          <w:b/>
        </w:rPr>
        <w:t xml:space="preserve">Wykaz aktywów i pasywów projektu </w:t>
      </w:r>
    </w:p>
    <w:p w:rsidR="00DD00C1" w:rsidRPr="001040B2" w:rsidRDefault="00D66402">
      <w:pPr>
        <w:spacing w:after="0" w:line="360" w:lineRule="auto"/>
        <w:rPr>
          <w:rFonts w:ascii="Arial" w:eastAsia="Times New Roman" w:hAnsi="Arial" w:cs="Arial"/>
          <w:i/>
        </w:rPr>
      </w:pPr>
      <w:r w:rsidRPr="001040B2">
        <w:rPr>
          <w:rFonts w:ascii="Arial" w:eastAsia="Times New Roman" w:hAnsi="Arial" w:cs="Arial"/>
          <w:i/>
        </w:rPr>
        <w:t xml:space="preserve"> </w:t>
      </w:r>
      <w:r w:rsidRPr="001040B2">
        <w:rPr>
          <w:rFonts w:ascii="Arial" w:eastAsia="Times New Roman" w:hAnsi="Arial" w:cs="Arial"/>
          <w:b/>
        </w:rPr>
        <w:t>Raporty dotyczące wydatków kwalifikowanych projektu</w:t>
      </w:r>
    </w:p>
    <w:p w:rsidR="00DD00C1" w:rsidRPr="001040B2" w:rsidRDefault="00D66402">
      <w:pPr>
        <w:spacing w:after="0" w:line="360" w:lineRule="auto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Sporządzamy po zakończeniu realizacji projektu.</w:t>
      </w:r>
    </w:p>
    <w:p w:rsidR="00DD00C1" w:rsidRPr="001040B2" w:rsidRDefault="00D66402" w:rsidP="00303E1F">
      <w:pPr>
        <w:spacing w:after="0" w:line="360" w:lineRule="auto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 xml:space="preserve">Układ tego raportu powinien się pokrywać z układem zestawienia dokumentów składających się na wydatki kwalifikowane </w:t>
      </w:r>
      <w:r w:rsidR="00303E1F">
        <w:rPr>
          <w:rFonts w:ascii="Arial" w:eastAsia="Times New Roman" w:hAnsi="Arial" w:cs="Arial"/>
        </w:rPr>
        <w:t xml:space="preserve"> </w:t>
      </w:r>
      <w:r w:rsidRPr="001040B2">
        <w:rPr>
          <w:rFonts w:ascii="Arial" w:eastAsia="Times New Roman" w:hAnsi="Arial" w:cs="Arial"/>
        </w:rPr>
        <w:t>…………………………....…………………….…………… na dzień ……………………………………………………………………. r. w zł.</w:t>
      </w:r>
    </w:p>
    <w:p w:rsidR="00024621" w:rsidRDefault="00D66402" w:rsidP="00AE4426">
      <w:pPr>
        <w:spacing w:after="0" w:line="360" w:lineRule="auto"/>
        <w:jc w:val="center"/>
        <w:rPr>
          <w:rFonts w:ascii="Arial" w:eastAsia="Times New Roman" w:hAnsi="Arial" w:cs="Arial"/>
          <w:i/>
        </w:rPr>
      </w:pPr>
      <w:r w:rsidRPr="001040B2">
        <w:rPr>
          <w:rFonts w:ascii="Arial" w:eastAsia="Times New Roman" w:hAnsi="Arial" w:cs="Arial"/>
          <w:i/>
        </w:rPr>
        <w:t>(podać nazwę zgodną z umową o dofinansowanie)</w:t>
      </w:r>
    </w:p>
    <w:p w:rsidR="00AE4426" w:rsidRPr="001040B2" w:rsidRDefault="00AE4426" w:rsidP="00AE4426">
      <w:pPr>
        <w:spacing w:after="0" w:line="360" w:lineRule="auto"/>
        <w:jc w:val="center"/>
        <w:rPr>
          <w:rFonts w:ascii="Arial" w:eastAsia="Times New Roman" w:hAnsi="Arial" w:cs="Arial"/>
          <w:i/>
        </w:rPr>
      </w:pPr>
    </w:p>
    <w:p w:rsidR="00DD00C1" w:rsidRPr="001040B2" w:rsidRDefault="00D66402">
      <w:pPr>
        <w:spacing w:after="0" w:line="360" w:lineRule="auto"/>
        <w:rPr>
          <w:rFonts w:ascii="Arial" w:eastAsia="Times New Roman" w:hAnsi="Arial" w:cs="Arial"/>
          <w:b/>
        </w:rPr>
      </w:pPr>
      <w:r w:rsidRPr="001040B2">
        <w:rPr>
          <w:rFonts w:ascii="Arial" w:eastAsia="Times New Roman" w:hAnsi="Arial" w:cs="Arial"/>
          <w:b/>
        </w:rPr>
        <w:t>Aktywa</w:t>
      </w:r>
    </w:p>
    <w:p w:rsidR="00DD00C1" w:rsidRPr="001040B2" w:rsidRDefault="00D66402">
      <w:pPr>
        <w:spacing w:after="0" w:line="360" w:lineRule="auto"/>
        <w:ind w:left="360"/>
        <w:jc w:val="center"/>
        <w:rPr>
          <w:rFonts w:ascii="Arial" w:eastAsia="Times New Roman" w:hAnsi="Arial" w:cs="Arial"/>
          <w:i/>
        </w:rPr>
      </w:pPr>
      <w:r w:rsidRPr="001040B2">
        <w:rPr>
          <w:rFonts w:ascii="Arial" w:eastAsia="Times New Roman" w:hAnsi="Arial" w:cs="Arial"/>
        </w:rPr>
        <w:t xml:space="preserve"> </w:t>
      </w:r>
    </w:p>
    <w:p w:rsidR="00DD00C1" w:rsidRPr="001040B2" w:rsidRDefault="00D66402" w:rsidP="00AE442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u w:val="single"/>
        </w:rPr>
      </w:pPr>
      <w:r w:rsidRPr="001040B2">
        <w:rPr>
          <w:rFonts w:ascii="Arial" w:eastAsia="Times New Roman" w:hAnsi="Arial" w:cs="Arial"/>
        </w:rPr>
        <w:t>Środki trwałe: ………………………………………………………………………..</w:t>
      </w:r>
    </w:p>
    <w:p w:rsidR="00DD00C1" w:rsidRPr="001040B2" w:rsidRDefault="00D66402" w:rsidP="00AE4426">
      <w:pPr>
        <w:spacing w:after="0" w:line="240" w:lineRule="auto"/>
        <w:ind w:left="360"/>
        <w:jc w:val="center"/>
        <w:rPr>
          <w:rFonts w:ascii="Arial" w:eastAsia="Times New Roman" w:hAnsi="Arial" w:cs="Arial"/>
          <w:i/>
          <w:u w:val="single"/>
        </w:rPr>
      </w:pPr>
      <w:r w:rsidRPr="001040B2">
        <w:rPr>
          <w:rFonts w:ascii="Arial" w:eastAsia="Times New Roman" w:hAnsi="Arial" w:cs="Arial"/>
        </w:rPr>
        <w:t xml:space="preserve"> </w:t>
      </w:r>
    </w:p>
    <w:p w:rsidR="00DD00C1" w:rsidRPr="001040B2" w:rsidRDefault="00D66402" w:rsidP="00AE442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u w:val="single"/>
        </w:rPr>
      </w:pPr>
      <w:r w:rsidRPr="001040B2">
        <w:rPr>
          <w:rFonts w:ascii="Arial" w:eastAsia="Times New Roman" w:hAnsi="Arial" w:cs="Arial"/>
        </w:rPr>
        <w:t>Należności z tytułu realizacji projektu: ………………………………………………</w:t>
      </w:r>
    </w:p>
    <w:p w:rsidR="00DD00C1" w:rsidRPr="001040B2" w:rsidRDefault="00D66402" w:rsidP="00AE4426">
      <w:pPr>
        <w:spacing w:after="0" w:line="240" w:lineRule="auto"/>
        <w:ind w:left="360"/>
        <w:jc w:val="center"/>
        <w:rPr>
          <w:rFonts w:ascii="Arial" w:eastAsia="Times New Roman" w:hAnsi="Arial" w:cs="Arial"/>
          <w:i/>
        </w:rPr>
      </w:pPr>
      <w:r w:rsidRPr="001040B2">
        <w:rPr>
          <w:rFonts w:ascii="Arial" w:eastAsia="Times New Roman" w:hAnsi="Arial" w:cs="Arial"/>
        </w:rPr>
        <w:t xml:space="preserve"> </w:t>
      </w:r>
    </w:p>
    <w:p w:rsidR="00DD00C1" w:rsidRPr="001040B2" w:rsidRDefault="00D66402" w:rsidP="00AE4426">
      <w:pPr>
        <w:spacing w:after="0" w:line="240" w:lineRule="auto"/>
        <w:ind w:left="360"/>
        <w:jc w:val="center"/>
        <w:rPr>
          <w:rFonts w:ascii="Arial" w:eastAsia="Times New Roman" w:hAnsi="Arial" w:cs="Arial"/>
          <w:b/>
        </w:rPr>
      </w:pPr>
      <w:r w:rsidRPr="001040B2">
        <w:rPr>
          <w:rFonts w:ascii="Arial" w:eastAsia="Times New Roman" w:hAnsi="Arial" w:cs="Arial"/>
          <w:b/>
        </w:rPr>
        <w:t>Razem aktywa projektu……………………………………………………….</w:t>
      </w:r>
    </w:p>
    <w:p w:rsidR="00A06BB7" w:rsidRDefault="00A06BB7">
      <w:pPr>
        <w:spacing w:after="0" w:line="360" w:lineRule="auto"/>
        <w:rPr>
          <w:rFonts w:ascii="Arial" w:eastAsia="Times New Roman" w:hAnsi="Arial" w:cs="Arial"/>
          <w:b/>
        </w:rPr>
      </w:pPr>
    </w:p>
    <w:p w:rsidR="00DB4CA9" w:rsidRPr="001040B2" w:rsidRDefault="00DB4CA9">
      <w:pPr>
        <w:spacing w:after="0" w:line="360" w:lineRule="auto"/>
        <w:rPr>
          <w:rFonts w:ascii="Arial" w:eastAsia="Times New Roman" w:hAnsi="Arial" w:cs="Arial"/>
          <w:b/>
        </w:rPr>
      </w:pPr>
    </w:p>
    <w:p w:rsidR="00DD00C1" w:rsidRPr="001040B2" w:rsidRDefault="00D66402">
      <w:pPr>
        <w:spacing w:after="0" w:line="360" w:lineRule="auto"/>
        <w:rPr>
          <w:rFonts w:ascii="Arial" w:eastAsia="Times New Roman" w:hAnsi="Arial" w:cs="Arial"/>
          <w:b/>
        </w:rPr>
      </w:pPr>
      <w:r w:rsidRPr="001040B2">
        <w:rPr>
          <w:rFonts w:ascii="Arial" w:eastAsia="Times New Roman" w:hAnsi="Arial" w:cs="Arial"/>
          <w:b/>
        </w:rPr>
        <w:lastRenderedPageBreak/>
        <w:t>Pasywa</w:t>
      </w:r>
    </w:p>
    <w:p w:rsidR="00DD00C1" w:rsidRPr="001040B2" w:rsidRDefault="00D6640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Fundusz jednostki (równowartość rozliczonych środków pomocowych i wkładu krajowego) z tego równowartość:</w:t>
      </w:r>
    </w:p>
    <w:p w:rsidR="00DD00C1" w:rsidRPr="001040B2" w:rsidRDefault="00D66402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środków UE ……………………………………….</w:t>
      </w:r>
    </w:p>
    <w:p w:rsidR="00024621" w:rsidRPr="00024621" w:rsidRDefault="00D66402" w:rsidP="00024621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Times New Roman" w:hAnsi="Arial" w:cs="Arial"/>
        </w:rPr>
      </w:pPr>
      <w:r w:rsidRPr="00024621">
        <w:rPr>
          <w:rFonts w:ascii="Arial" w:eastAsia="Times New Roman" w:hAnsi="Arial" w:cs="Arial"/>
        </w:rPr>
        <w:t>Zobowiązania z tytułu realizacji projektu ……………………………</w:t>
      </w:r>
    </w:p>
    <w:p w:rsidR="00DD00C1" w:rsidRPr="00024621" w:rsidRDefault="00D66402" w:rsidP="00024621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Arial" w:eastAsia="Times New Roman" w:hAnsi="Arial" w:cs="Arial"/>
        </w:rPr>
      </w:pPr>
      <w:r w:rsidRPr="00024621">
        <w:rPr>
          <w:rFonts w:ascii="Arial" w:eastAsia="Times New Roman" w:hAnsi="Arial" w:cs="Arial"/>
        </w:rPr>
        <w:t>Inne zobowiązania (z tytułu kwot zatrzymanych jako zabezpieczenie dobrego wykonania itp.)   …………………………..</w:t>
      </w:r>
    </w:p>
    <w:p w:rsidR="00DD00C1" w:rsidRPr="001040B2" w:rsidRDefault="00D66402">
      <w:pPr>
        <w:spacing w:after="0" w:line="360" w:lineRule="auto"/>
        <w:ind w:left="720"/>
        <w:rPr>
          <w:rFonts w:ascii="Arial" w:eastAsia="Times New Roman" w:hAnsi="Arial" w:cs="Arial"/>
          <w:b/>
        </w:rPr>
      </w:pPr>
      <w:r w:rsidRPr="001040B2">
        <w:rPr>
          <w:rFonts w:ascii="Arial" w:eastAsia="Times New Roman" w:hAnsi="Arial" w:cs="Arial"/>
          <w:b/>
        </w:rPr>
        <w:t xml:space="preserve">  Razem pasywa projektu  ………………………………………………………..</w:t>
      </w:r>
    </w:p>
    <w:p w:rsidR="00DD00C1" w:rsidRPr="001040B2" w:rsidRDefault="00DD00C1">
      <w:pPr>
        <w:spacing w:after="0" w:line="360" w:lineRule="auto"/>
        <w:ind w:left="360"/>
        <w:rPr>
          <w:rFonts w:ascii="Arial" w:eastAsia="Times New Roman" w:hAnsi="Arial" w:cs="Arial"/>
          <w:b/>
        </w:rPr>
      </w:pPr>
    </w:p>
    <w:p w:rsidR="00DD00C1" w:rsidRPr="001040B2" w:rsidRDefault="00D66402">
      <w:pPr>
        <w:spacing w:after="0" w:line="360" w:lineRule="auto"/>
        <w:ind w:left="360"/>
        <w:rPr>
          <w:rFonts w:ascii="Arial" w:eastAsia="Times New Roman" w:hAnsi="Arial" w:cs="Arial"/>
          <w:b/>
        </w:rPr>
      </w:pPr>
      <w:r w:rsidRPr="001040B2">
        <w:rPr>
          <w:rFonts w:ascii="Arial" w:eastAsia="Times New Roman" w:hAnsi="Arial" w:cs="Arial"/>
          <w:b/>
        </w:rPr>
        <w:t>Informacje dodatkowe do bilansu kontrolnego projektu</w:t>
      </w:r>
    </w:p>
    <w:p w:rsidR="00DD00C1" w:rsidRPr="001040B2" w:rsidRDefault="00D66402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Wartość wydatków kwalifikowanych projektu wykonana do ……………………… r.</w:t>
      </w:r>
    </w:p>
    <w:p w:rsidR="00DD00C1" w:rsidRPr="001040B2" w:rsidRDefault="00D66402">
      <w:pPr>
        <w:spacing w:after="0" w:line="360" w:lineRule="auto"/>
        <w:ind w:left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(w walucie projektu)</w:t>
      </w:r>
    </w:p>
    <w:p w:rsidR="00AE4426" w:rsidRPr="00AE4426" w:rsidRDefault="00D66402" w:rsidP="00AE4426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2"/>
          <w:szCs w:val="22"/>
        </w:rPr>
      </w:pPr>
      <w:r w:rsidRPr="00AE4426">
        <w:rPr>
          <w:rFonts w:ascii="Arial" w:hAnsi="Arial" w:cs="Arial"/>
          <w:sz w:val="22"/>
          <w:szCs w:val="22"/>
        </w:rPr>
        <w:t>ze środków UE/</w:t>
      </w:r>
      <w:r w:rsidR="00AE4426" w:rsidRPr="00AE4426">
        <w:rPr>
          <w:rFonts w:ascii="Arial" w:hAnsi="Arial" w:cs="Arial"/>
          <w:bCs/>
          <w:sz w:val="22"/>
          <w:szCs w:val="22"/>
        </w:rPr>
        <w:t xml:space="preserve"> Europejskiego Funduszu Rozwoju Regionalnego</w:t>
      </w:r>
    </w:p>
    <w:p w:rsidR="00DD00C1" w:rsidRPr="00AE4426" w:rsidRDefault="00AE4426" w:rsidP="00AE4426">
      <w:p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</w:t>
      </w:r>
      <w:r w:rsidR="00D66402" w:rsidRPr="00AE4426">
        <w:rPr>
          <w:rFonts w:ascii="Arial" w:eastAsia="Times New Roman" w:hAnsi="Arial" w:cs="Arial"/>
        </w:rPr>
        <w:t>………………………….</w:t>
      </w:r>
    </w:p>
    <w:p w:rsidR="00DD00C1" w:rsidRPr="001040B2" w:rsidRDefault="00D66402">
      <w:pPr>
        <w:spacing w:after="0" w:line="360" w:lineRule="auto"/>
        <w:ind w:left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b) środków krajowych ………………………………..</w:t>
      </w:r>
    </w:p>
    <w:p w:rsidR="00DD00C1" w:rsidRPr="001040B2" w:rsidRDefault="00D66402">
      <w:pPr>
        <w:spacing w:after="0" w:line="360" w:lineRule="auto"/>
        <w:ind w:left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c) razem wydatki kwalifikowane……………………………………….</w:t>
      </w:r>
    </w:p>
    <w:p w:rsidR="00DD00C1" w:rsidRPr="001040B2" w:rsidRDefault="00D66402">
      <w:pPr>
        <w:spacing w:after="0" w:line="360" w:lineRule="auto"/>
        <w:ind w:left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2. Struktura wydatków kwalifikowanych według kategorii (w walucie projektu):</w:t>
      </w:r>
    </w:p>
    <w:p w:rsidR="00DD00C1" w:rsidRPr="001040B2" w:rsidRDefault="00D66402">
      <w:pPr>
        <w:spacing w:after="0" w:line="360" w:lineRule="auto"/>
        <w:ind w:left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 xml:space="preserve">                                                               Kwota  ……………..                 Struktura w %</w:t>
      </w:r>
    </w:p>
    <w:p w:rsidR="00DD00C1" w:rsidRPr="001040B2" w:rsidRDefault="00D66402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Koszty inwestycyjne                              ………………………              …..………</w:t>
      </w:r>
    </w:p>
    <w:p w:rsidR="00DD00C1" w:rsidRPr="001040B2" w:rsidRDefault="00D66402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 xml:space="preserve">Koszty ogólne                                       ……………………….              </w:t>
      </w:r>
      <w:r w:rsidR="00390119">
        <w:rPr>
          <w:rFonts w:ascii="Arial" w:eastAsia="Times New Roman" w:hAnsi="Arial" w:cs="Arial"/>
        </w:rPr>
        <w:t xml:space="preserve"> </w:t>
      </w:r>
      <w:r w:rsidRPr="001040B2">
        <w:rPr>
          <w:rFonts w:ascii="Arial" w:eastAsia="Times New Roman" w:hAnsi="Arial" w:cs="Arial"/>
        </w:rPr>
        <w:t>…………..</w:t>
      </w:r>
    </w:p>
    <w:p w:rsidR="00DD00C1" w:rsidRPr="001040B2" w:rsidRDefault="00D66402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 xml:space="preserve"> podatek VAT (</w:t>
      </w:r>
      <w:proofErr w:type="spellStart"/>
      <w:r w:rsidRPr="001040B2">
        <w:rPr>
          <w:rFonts w:ascii="Arial" w:eastAsia="Times New Roman" w:hAnsi="Arial" w:cs="Arial"/>
        </w:rPr>
        <w:t>nieodliczalny</w:t>
      </w:r>
      <w:proofErr w:type="spellEnd"/>
      <w:r w:rsidRPr="001040B2">
        <w:rPr>
          <w:rFonts w:ascii="Arial" w:eastAsia="Times New Roman" w:hAnsi="Arial" w:cs="Arial"/>
        </w:rPr>
        <w:t>)                 --------------                    ------------------</w:t>
      </w:r>
    </w:p>
    <w:p w:rsidR="00DD00C1" w:rsidRPr="001040B2" w:rsidRDefault="00D66402">
      <w:pPr>
        <w:spacing w:after="0" w:line="360" w:lineRule="auto"/>
        <w:ind w:left="360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 xml:space="preserve">                                                                    razem ……………………                100%</w:t>
      </w:r>
    </w:p>
    <w:p w:rsidR="00DD00C1" w:rsidRPr="001040B2" w:rsidRDefault="00D66402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Zobowiązania warunkowe projektu (w zł), z podaniem okresu zobowiązywania:</w:t>
      </w:r>
    </w:p>
    <w:p w:rsidR="00DD00C1" w:rsidRPr="001040B2" w:rsidRDefault="00D66402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z tytułu poręczeń, gwarancji,</w:t>
      </w:r>
    </w:p>
    <w:p w:rsidR="00DD00C1" w:rsidRPr="001040B2" w:rsidRDefault="00D66402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Arial" w:eastAsia="Times New Roman" w:hAnsi="Arial" w:cs="Arial"/>
        </w:rPr>
      </w:pPr>
      <w:r w:rsidRPr="001040B2">
        <w:rPr>
          <w:rFonts w:ascii="Arial" w:eastAsia="Times New Roman" w:hAnsi="Arial" w:cs="Arial"/>
        </w:rPr>
        <w:t>inne ………………………………………………………………………………….</w:t>
      </w:r>
    </w:p>
    <w:p w:rsidR="000731AF" w:rsidRPr="00847754" w:rsidRDefault="00D66402" w:rsidP="00847754">
      <w:pPr>
        <w:spacing w:after="0" w:line="360" w:lineRule="auto"/>
        <w:ind w:left="360"/>
        <w:jc w:val="center"/>
        <w:rPr>
          <w:rFonts w:ascii="Arial" w:eastAsia="Times New Roman" w:hAnsi="Arial" w:cs="Arial"/>
          <w:i/>
        </w:rPr>
      </w:pPr>
      <w:r w:rsidRPr="001040B2">
        <w:rPr>
          <w:rFonts w:ascii="Arial" w:eastAsia="Times New Roman" w:hAnsi="Arial" w:cs="Arial"/>
          <w:i/>
        </w:rPr>
        <w:t>(podać tytuły)</w:t>
      </w:r>
    </w:p>
    <w:sectPr w:rsidR="000731AF" w:rsidRPr="00847754" w:rsidSect="000143F3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AE0" w:rsidRDefault="004B1AE0" w:rsidP="00844B85">
      <w:pPr>
        <w:spacing w:after="0" w:line="240" w:lineRule="auto"/>
      </w:pPr>
      <w:r>
        <w:separator/>
      </w:r>
    </w:p>
  </w:endnote>
  <w:endnote w:type="continuationSeparator" w:id="0">
    <w:p w:rsidR="004B1AE0" w:rsidRDefault="004B1AE0" w:rsidP="0084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AE0" w:rsidRDefault="004B1AE0" w:rsidP="00844B85">
      <w:pPr>
        <w:spacing w:after="0" w:line="240" w:lineRule="auto"/>
      </w:pPr>
      <w:r>
        <w:separator/>
      </w:r>
    </w:p>
  </w:footnote>
  <w:footnote w:type="continuationSeparator" w:id="0">
    <w:p w:rsidR="004B1AE0" w:rsidRDefault="004B1AE0" w:rsidP="0084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85" w:rsidRDefault="00ED14E0">
    <w:pPr>
      <w:pStyle w:val="Nagwek"/>
    </w:pPr>
    <w:r w:rsidRPr="00433807">
      <w:rPr>
        <w:rFonts w:cs="Arial"/>
        <w:noProof/>
        <w:sz w:val="28"/>
        <w:szCs w:val="28"/>
      </w:rPr>
      <w:drawing>
        <wp:inline distT="0" distB="0" distL="0" distR="0">
          <wp:extent cx="5760720" cy="1204120"/>
          <wp:effectExtent l="0" t="0" r="0" b="0"/>
          <wp:docPr id="1" name="Obraz 1" descr="Logotypy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A01"/>
    <w:multiLevelType w:val="hybridMultilevel"/>
    <w:tmpl w:val="CE009524"/>
    <w:lvl w:ilvl="0" w:tplc="0D96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28DB"/>
    <w:multiLevelType w:val="multilevel"/>
    <w:tmpl w:val="27E4A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B4A4D"/>
    <w:multiLevelType w:val="hybridMultilevel"/>
    <w:tmpl w:val="1B0CD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1ADA"/>
    <w:multiLevelType w:val="hybridMultilevel"/>
    <w:tmpl w:val="AECA30D2"/>
    <w:lvl w:ilvl="0" w:tplc="0D968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78A9"/>
    <w:multiLevelType w:val="multilevel"/>
    <w:tmpl w:val="90464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FA0ECD"/>
    <w:multiLevelType w:val="hybridMultilevel"/>
    <w:tmpl w:val="53B24A8E"/>
    <w:lvl w:ilvl="0" w:tplc="9A0A0146">
      <w:start w:val="1"/>
      <w:numFmt w:val="decimal"/>
      <w:lvlText w:val="%1."/>
      <w:lvlJc w:val="left"/>
      <w:pPr>
        <w:ind w:left="720" w:hanging="360"/>
      </w:pPr>
      <w:rPr>
        <w:rFonts w:ascii="TimesNewRoman-Bold" w:hAnsi="TimesNewRoman-Bold" w:cs="TimesNewRoman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E08F9"/>
    <w:multiLevelType w:val="multilevel"/>
    <w:tmpl w:val="E2CC4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813748"/>
    <w:multiLevelType w:val="multilevel"/>
    <w:tmpl w:val="E9949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D63CB1"/>
    <w:multiLevelType w:val="hybridMultilevel"/>
    <w:tmpl w:val="574C7520"/>
    <w:lvl w:ilvl="0" w:tplc="ED90438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9204885"/>
    <w:multiLevelType w:val="hybridMultilevel"/>
    <w:tmpl w:val="240AF118"/>
    <w:lvl w:ilvl="0" w:tplc="ED90438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AE23D4C"/>
    <w:multiLevelType w:val="multilevel"/>
    <w:tmpl w:val="865AC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937E26"/>
    <w:multiLevelType w:val="hybridMultilevel"/>
    <w:tmpl w:val="240AF118"/>
    <w:lvl w:ilvl="0" w:tplc="ED90438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0603C14"/>
    <w:multiLevelType w:val="multilevel"/>
    <w:tmpl w:val="1270B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D32BD3"/>
    <w:multiLevelType w:val="hybridMultilevel"/>
    <w:tmpl w:val="F77E4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C346D"/>
    <w:multiLevelType w:val="multilevel"/>
    <w:tmpl w:val="F758B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4"/>
  </w:num>
  <w:num w:numId="5">
    <w:abstractNumId w:val="1"/>
  </w:num>
  <w:num w:numId="6">
    <w:abstractNumId w:val="10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C1"/>
    <w:rsid w:val="000143F3"/>
    <w:rsid w:val="0001511A"/>
    <w:rsid w:val="0001787A"/>
    <w:rsid w:val="00024621"/>
    <w:rsid w:val="00034CAC"/>
    <w:rsid w:val="00041F22"/>
    <w:rsid w:val="000469C1"/>
    <w:rsid w:val="000731AF"/>
    <w:rsid w:val="00082D0B"/>
    <w:rsid w:val="00094B01"/>
    <w:rsid w:val="000A746A"/>
    <w:rsid w:val="000B3CA9"/>
    <w:rsid w:val="000E3DD1"/>
    <w:rsid w:val="00103B50"/>
    <w:rsid w:val="001040B2"/>
    <w:rsid w:val="00131CD5"/>
    <w:rsid w:val="00145BB7"/>
    <w:rsid w:val="00163CBC"/>
    <w:rsid w:val="00180C22"/>
    <w:rsid w:val="001A42D4"/>
    <w:rsid w:val="001B1D5D"/>
    <w:rsid w:val="001C15CF"/>
    <w:rsid w:val="001C29B0"/>
    <w:rsid w:val="001C3922"/>
    <w:rsid w:val="001E7AA4"/>
    <w:rsid w:val="001F7DAF"/>
    <w:rsid w:val="00260C87"/>
    <w:rsid w:val="00273637"/>
    <w:rsid w:val="00280AF9"/>
    <w:rsid w:val="002B2560"/>
    <w:rsid w:val="002B2C5A"/>
    <w:rsid w:val="002C11AF"/>
    <w:rsid w:val="002C6471"/>
    <w:rsid w:val="002F2244"/>
    <w:rsid w:val="002F46BC"/>
    <w:rsid w:val="00303E1F"/>
    <w:rsid w:val="00320522"/>
    <w:rsid w:val="00344750"/>
    <w:rsid w:val="00346119"/>
    <w:rsid w:val="00347A71"/>
    <w:rsid w:val="00355CB7"/>
    <w:rsid w:val="00385860"/>
    <w:rsid w:val="003874FE"/>
    <w:rsid w:val="00390119"/>
    <w:rsid w:val="003A2BC6"/>
    <w:rsid w:val="003D3F8E"/>
    <w:rsid w:val="003D4072"/>
    <w:rsid w:val="003D47A9"/>
    <w:rsid w:val="003D58EB"/>
    <w:rsid w:val="003D694C"/>
    <w:rsid w:val="003E6D8B"/>
    <w:rsid w:val="003F3B7F"/>
    <w:rsid w:val="00437636"/>
    <w:rsid w:val="004406FB"/>
    <w:rsid w:val="00456B81"/>
    <w:rsid w:val="004739D0"/>
    <w:rsid w:val="00475490"/>
    <w:rsid w:val="004A1F18"/>
    <w:rsid w:val="004A26F5"/>
    <w:rsid w:val="004B058E"/>
    <w:rsid w:val="004B1AE0"/>
    <w:rsid w:val="004E2A74"/>
    <w:rsid w:val="004E460E"/>
    <w:rsid w:val="004F4B95"/>
    <w:rsid w:val="004F75E1"/>
    <w:rsid w:val="005119BD"/>
    <w:rsid w:val="005265E5"/>
    <w:rsid w:val="00533A8C"/>
    <w:rsid w:val="00551905"/>
    <w:rsid w:val="0055612A"/>
    <w:rsid w:val="00560A41"/>
    <w:rsid w:val="005611F4"/>
    <w:rsid w:val="005806E6"/>
    <w:rsid w:val="00586003"/>
    <w:rsid w:val="0060086B"/>
    <w:rsid w:val="006030F9"/>
    <w:rsid w:val="0061565C"/>
    <w:rsid w:val="006236C8"/>
    <w:rsid w:val="00642CED"/>
    <w:rsid w:val="006437CD"/>
    <w:rsid w:val="00645C5C"/>
    <w:rsid w:val="006517BC"/>
    <w:rsid w:val="006527C1"/>
    <w:rsid w:val="0068326C"/>
    <w:rsid w:val="00694F66"/>
    <w:rsid w:val="006A2B47"/>
    <w:rsid w:val="006D2098"/>
    <w:rsid w:val="006D2DDD"/>
    <w:rsid w:val="00725380"/>
    <w:rsid w:val="007356C5"/>
    <w:rsid w:val="0073726B"/>
    <w:rsid w:val="0074332A"/>
    <w:rsid w:val="007463E7"/>
    <w:rsid w:val="00753D55"/>
    <w:rsid w:val="007604DE"/>
    <w:rsid w:val="007B0395"/>
    <w:rsid w:val="007B044C"/>
    <w:rsid w:val="007B5675"/>
    <w:rsid w:val="007D6EB0"/>
    <w:rsid w:val="00820658"/>
    <w:rsid w:val="00823869"/>
    <w:rsid w:val="0083054C"/>
    <w:rsid w:val="00832851"/>
    <w:rsid w:val="00844B85"/>
    <w:rsid w:val="00847754"/>
    <w:rsid w:val="008717DD"/>
    <w:rsid w:val="00877DF8"/>
    <w:rsid w:val="00893A21"/>
    <w:rsid w:val="008A0A93"/>
    <w:rsid w:val="008A5D60"/>
    <w:rsid w:val="008B21D9"/>
    <w:rsid w:val="008B7556"/>
    <w:rsid w:val="008B79B3"/>
    <w:rsid w:val="008E01B2"/>
    <w:rsid w:val="009258F1"/>
    <w:rsid w:val="00931924"/>
    <w:rsid w:val="009345DE"/>
    <w:rsid w:val="0097314B"/>
    <w:rsid w:val="00973E76"/>
    <w:rsid w:val="0098532E"/>
    <w:rsid w:val="009B38A0"/>
    <w:rsid w:val="009C35B9"/>
    <w:rsid w:val="009C7058"/>
    <w:rsid w:val="009D437A"/>
    <w:rsid w:val="00A06BB7"/>
    <w:rsid w:val="00A16AAD"/>
    <w:rsid w:val="00A330EE"/>
    <w:rsid w:val="00AB5DA0"/>
    <w:rsid w:val="00AD1BAA"/>
    <w:rsid w:val="00AE2C40"/>
    <w:rsid w:val="00AE4426"/>
    <w:rsid w:val="00AF7B72"/>
    <w:rsid w:val="00B56597"/>
    <w:rsid w:val="00B83CB5"/>
    <w:rsid w:val="00B85BBF"/>
    <w:rsid w:val="00B86906"/>
    <w:rsid w:val="00B87C1D"/>
    <w:rsid w:val="00B90896"/>
    <w:rsid w:val="00BA5E18"/>
    <w:rsid w:val="00BB57B5"/>
    <w:rsid w:val="00BF12A7"/>
    <w:rsid w:val="00BF4211"/>
    <w:rsid w:val="00C24014"/>
    <w:rsid w:val="00C26977"/>
    <w:rsid w:val="00C30EB7"/>
    <w:rsid w:val="00C40848"/>
    <w:rsid w:val="00C51CE5"/>
    <w:rsid w:val="00C76C5A"/>
    <w:rsid w:val="00C81FA0"/>
    <w:rsid w:val="00CA1759"/>
    <w:rsid w:val="00CB767E"/>
    <w:rsid w:val="00CB7B97"/>
    <w:rsid w:val="00D03A71"/>
    <w:rsid w:val="00D31463"/>
    <w:rsid w:val="00D465D0"/>
    <w:rsid w:val="00D52CD6"/>
    <w:rsid w:val="00D66402"/>
    <w:rsid w:val="00D67117"/>
    <w:rsid w:val="00D86061"/>
    <w:rsid w:val="00D90C33"/>
    <w:rsid w:val="00DA19A9"/>
    <w:rsid w:val="00DA2E09"/>
    <w:rsid w:val="00DB4CA9"/>
    <w:rsid w:val="00DD00C1"/>
    <w:rsid w:val="00DD32EB"/>
    <w:rsid w:val="00DD6750"/>
    <w:rsid w:val="00DD6E70"/>
    <w:rsid w:val="00E06DD3"/>
    <w:rsid w:val="00E20E7E"/>
    <w:rsid w:val="00E333C6"/>
    <w:rsid w:val="00E5031C"/>
    <w:rsid w:val="00E526DF"/>
    <w:rsid w:val="00E81D2B"/>
    <w:rsid w:val="00E86DF6"/>
    <w:rsid w:val="00E91DCB"/>
    <w:rsid w:val="00EC7DF2"/>
    <w:rsid w:val="00ED14E0"/>
    <w:rsid w:val="00ED6AF9"/>
    <w:rsid w:val="00EE2153"/>
    <w:rsid w:val="00EF704A"/>
    <w:rsid w:val="00F37AE1"/>
    <w:rsid w:val="00F44157"/>
    <w:rsid w:val="00F44AF3"/>
    <w:rsid w:val="00F46558"/>
    <w:rsid w:val="00F6116C"/>
    <w:rsid w:val="00F6492F"/>
    <w:rsid w:val="00F761AA"/>
    <w:rsid w:val="00F87E72"/>
    <w:rsid w:val="00F90A95"/>
    <w:rsid w:val="00FA0BF8"/>
    <w:rsid w:val="00FB341C"/>
    <w:rsid w:val="00FC2C6F"/>
    <w:rsid w:val="00FC7DAC"/>
    <w:rsid w:val="00FD4BB6"/>
    <w:rsid w:val="00FF669B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882819-EDDC-44DA-8597-5151355E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736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B85"/>
  </w:style>
  <w:style w:type="paragraph" w:styleId="Stopka">
    <w:name w:val="footer"/>
    <w:basedOn w:val="Normalny"/>
    <w:link w:val="StopkaZnak"/>
    <w:uiPriority w:val="99"/>
    <w:unhideWhenUsed/>
    <w:rsid w:val="0084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876F-9C26-45C0-9EEC-1C309037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</Pages>
  <Words>2213</Words>
  <Characters>13284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Fiedorowicz</dc:creator>
  <cp:lastModifiedBy>Joanna Fiedorowicz</cp:lastModifiedBy>
  <cp:revision>35</cp:revision>
  <cp:lastPrinted>2022-09-21T10:58:00Z</cp:lastPrinted>
  <dcterms:created xsi:type="dcterms:W3CDTF">2021-10-14T13:02:00Z</dcterms:created>
  <dcterms:modified xsi:type="dcterms:W3CDTF">2022-09-21T10:59:00Z</dcterms:modified>
</cp:coreProperties>
</file>