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024" w:rsidRPr="00524024" w:rsidRDefault="00524024" w:rsidP="00524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lang w:eastAsia="pl-PL"/>
        </w:rPr>
      </w:pPr>
    </w:p>
    <w:p w:rsidR="00524024" w:rsidRPr="00524024" w:rsidRDefault="00524024" w:rsidP="00E47F22">
      <w:pPr>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line="276" w:lineRule="auto"/>
        <w:ind w:left="5670"/>
        <w:jc w:val="both"/>
        <w:rPr>
          <w:rFonts w:cs="Calibri"/>
          <w:lang w:eastAsia="pl-PL"/>
        </w:rPr>
      </w:pPr>
      <w:r w:rsidRPr="00524024">
        <w:rPr>
          <w:rFonts w:cs="Calibri"/>
          <w:lang w:eastAsia="pl-PL"/>
        </w:rPr>
        <w:t>Załącznik Nr 3</w:t>
      </w:r>
      <w:r w:rsidRPr="00524024">
        <w:rPr>
          <w:rFonts w:cs="Calibri"/>
          <w:lang w:eastAsia="pl-PL"/>
        </w:rPr>
        <w:tab/>
      </w:r>
      <w:r w:rsidRPr="00524024">
        <w:rPr>
          <w:rFonts w:cs="Calibri"/>
          <w:lang w:eastAsia="pl-PL"/>
        </w:rPr>
        <w:tab/>
      </w:r>
      <w:r w:rsidRPr="00524024">
        <w:rPr>
          <w:rFonts w:cs="Calibri"/>
          <w:lang w:eastAsia="pl-PL"/>
        </w:rPr>
        <w:br/>
        <w:t>do Uchwały Nr</w:t>
      </w:r>
      <w:r w:rsidRPr="00524024">
        <w:rPr>
          <w:rFonts w:cs="Calibri"/>
          <w:lang w:eastAsia="pl-PL"/>
        </w:rPr>
        <w:tab/>
      </w:r>
      <w:r w:rsidRPr="00524024">
        <w:rPr>
          <w:rFonts w:cs="Calibri"/>
          <w:lang w:eastAsia="pl-PL"/>
        </w:rPr>
        <w:tab/>
      </w:r>
      <w:r w:rsidRPr="00524024">
        <w:rPr>
          <w:rFonts w:cs="Calibri"/>
          <w:lang w:eastAsia="pl-PL"/>
        </w:rPr>
        <w:tab/>
      </w:r>
      <w:r w:rsidRPr="00524024">
        <w:rPr>
          <w:rFonts w:cs="Calibri"/>
          <w:lang w:eastAsia="pl-PL"/>
        </w:rPr>
        <w:br/>
        <w:t>Rady Miejskiej Łomży</w:t>
      </w:r>
      <w:r w:rsidRPr="00524024">
        <w:rPr>
          <w:rFonts w:cs="Calibri"/>
          <w:lang w:eastAsia="pl-PL"/>
        </w:rPr>
        <w:tab/>
      </w:r>
      <w:r w:rsidRPr="00524024">
        <w:rPr>
          <w:rFonts w:cs="Calibri"/>
          <w:lang w:eastAsia="pl-PL"/>
        </w:rPr>
        <w:tab/>
      </w:r>
      <w:r w:rsidRPr="00524024">
        <w:rPr>
          <w:rFonts w:cs="Calibri"/>
          <w:lang w:eastAsia="pl-PL"/>
        </w:rPr>
        <w:br/>
        <w:t xml:space="preserve">z dnia </w:t>
      </w:r>
    </w:p>
    <w:p w:rsid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b/>
          <w:bCs/>
          <w:lang w:eastAsia="pl-PL"/>
        </w:rPr>
      </w:pPr>
    </w:p>
    <w:p w:rsidR="00C31C11" w:rsidRPr="00524024" w:rsidRDefault="00C31C11"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b/>
          <w:bCs/>
          <w:lang w:eastAsia="pl-PL"/>
        </w:rPr>
      </w:pPr>
    </w:p>
    <w:p w:rsid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b/>
          <w:bCs/>
          <w:lang w:eastAsia="pl-PL"/>
        </w:rPr>
      </w:pPr>
      <w:r w:rsidRPr="00524024">
        <w:rPr>
          <w:rFonts w:ascii="Arial" w:hAnsi="Arial" w:cs="Arial"/>
          <w:b/>
          <w:bCs/>
          <w:lang w:eastAsia="pl-PL"/>
        </w:rPr>
        <w:t>Objaśnienie przyjętych wartości w Wieloletniej Prognozie Finansowej Miasta Łomży na lata 202</w:t>
      </w:r>
      <w:r w:rsidR="00032486">
        <w:rPr>
          <w:rFonts w:ascii="Arial" w:hAnsi="Arial" w:cs="Arial"/>
          <w:b/>
          <w:bCs/>
          <w:lang w:eastAsia="pl-PL"/>
        </w:rPr>
        <w:t>2</w:t>
      </w:r>
      <w:r w:rsidRPr="00524024">
        <w:rPr>
          <w:rFonts w:ascii="Arial" w:hAnsi="Arial" w:cs="Arial"/>
          <w:b/>
          <w:bCs/>
          <w:lang w:eastAsia="pl-PL"/>
        </w:rPr>
        <w:t>-203</w:t>
      </w:r>
      <w:r w:rsidR="004A04B9">
        <w:rPr>
          <w:rFonts w:ascii="Arial" w:hAnsi="Arial" w:cs="Arial"/>
          <w:b/>
          <w:bCs/>
          <w:lang w:eastAsia="pl-PL"/>
        </w:rPr>
        <w:t>7</w:t>
      </w:r>
      <w:r w:rsidRPr="00524024">
        <w:rPr>
          <w:rFonts w:ascii="Arial" w:hAnsi="Arial" w:cs="Arial"/>
          <w:b/>
          <w:bCs/>
          <w:lang w:eastAsia="pl-PL"/>
        </w:rPr>
        <w:t>.</w:t>
      </w:r>
    </w:p>
    <w:p w:rsidR="00C31C11" w:rsidRPr="00524024" w:rsidRDefault="00C31C11"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b/>
          <w:bCs/>
          <w:lang w:eastAsia="pl-PL"/>
        </w:rPr>
      </w:pPr>
    </w:p>
    <w:p w:rsidR="00524024" w:rsidRPr="00524024" w:rsidRDefault="00524024" w:rsidP="005240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76" w:lineRule="auto"/>
        <w:jc w:val="both"/>
        <w:rPr>
          <w:rFonts w:ascii="Arial" w:hAnsi="Arial" w:cs="Arial"/>
          <w:lang w:eastAsia="pl-PL"/>
        </w:rPr>
      </w:pPr>
      <w:r w:rsidRPr="00524024">
        <w:rPr>
          <w:rFonts w:ascii="Arial" w:hAnsi="Arial" w:cs="Arial"/>
          <w:lang w:eastAsia="pl-PL"/>
        </w:rPr>
        <w:t xml:space="preserve">Projekt przedstawionej Wieloletniej Prognozy Finansowej opracowany został w oparciu </w:t>
      </w:r>
      <w:r w:rsidRPr="00524024">
        <w:rPr>
          <w:rFonts w:ascii="Arial" w:hAnsi="Arial" w:cs="Arial"/>
          <w:lang w:eastAsia="pl-PL"/>
        </w:rPr>
        <w:br/>
        <w:t xml:space="preserve">o prognozowane przez Ministerstwo Finansów parametry makroekonomiczne, informacje otrzymane z Ministerstwa Finansów, przewidywane wykorzystanie środków z Unii Europejskiej oraz analizę aktualnej sytuacji finansowej Miasta. </w:t>
      </w:r>
    </w:p>
    <w:p w:rsidR="00524024" w:rsidRPr="00524024" w:rsidRDefault="00524024" w:rsidP="005240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76" w:lineRule="auto"/>
        <w:jc w:val="both"/>
        <w:rPr>
          <w:rFonts w:ascii="Arial" w:hAnsi="Arial" w:cs="Arial"/>
          <w:lang w:eastAsia="pl-PL"/>
        </w:rPr>
      </w:pPr>
      <w:r w:rsidRPr="00524024">
        <w:rPr>
          <w:rFonts w:ascii="Arial" w:hAnsi="Arial" w:cs="Arial"/>
          <w:lang w:eastAsia="pl-PL"/>
        </w:rPr>
        <w:t xml:space="preserve">Podstawą opracowania Wieloletniej Prognozy Finansowej Miasta Łomża są założenia </w:t>
      </w:r>
      <w:r w:rsidRPr="00524024">
        <w:rPr>
          <w:rFonts w:ascii="Arial" w:hAnsi="Arial" w:cs="Arial"/>
          <w:lang w:eastAsia="pl-PL"/>
        </w:rPr>
        <w:br/>
        <w:t>i informacje zgromadzone do opracowania projektu uchwały budżetowej na 202</w:t>
      </w:r>
      <w:r w:rsidR="00032486">
        <w:rPr>
          <w:rFonts w:ascii="Arial" w:hAnsi="Arial" w:cs="Arial"/>
          <w:lang w:eastAsia="pl-PL"/>
        </w:rPr>
        <w:t>2</w:t>
      </w:r>
      <w:r w:rsidRPr="00524024">
        <w:rPr>
          <w:rFonts w:ascii="Arial" w:hAnsi="Arial" w:cs="Arial"/>
          <w:lang w:eastAsia="pl-PL"/>
        </w:rPr>
        <w:t xml:space="preserve"> rok, dane sprawozdawcze z wykonania budżetu Mi</w:t>
      </w:r>
      <w:r w:rsidR="0091771D">
        <w:rPr>
          <w:rFonts w:ascii="Arial" w:hAnsi="Arial" w:cs="Arial"/>
          <w:lang w:eastAsia="pl-PL"/>
        </w:rPr>
        <w:t>asta Łomża za lata 201</w:t>
      </w:r>
      <w:r w:rsidR="00032486">
        <w:rPr>
          <w:rFonts w:ascii="Arial" w:hAnsi="Arial" w:cs="Arial"/>
          <w:lang w:eastAsia="pl-PL"/>
        </w:rPr>
        <w:t>9 i 2020</w:t>
      </w:r>
      <w:r w:rsidRPr="00524024">
        <w:rPr>
          <w:rFonts w:ascii="Arial" w:hAnsi="Arial" w:cs="Arial"/>
          <w:lang w:eastAsia="pl-PL"/>
        </w:rPr>
        <w:t>, wartości plano</w:t>
      </w:r>
      <w:r w:rsidR="0091771D">
        <w:rPr>
          <w:rFonts w:ascii="Arial" w:hAnsi="Arial" w:cs="Arial"/>
          <w:lang w:eastAsia="pl-PL"/>
        </w:rPr>
        <w:t>wane na koniec III kwartału 202</w:t>
      </w:r>
      <w:r w:rsidR="00032486">
        <w:rPr>
          <w:rFonts w:ascii="Arial" w:hAnsi="Arial" w:cs="Arial"/>
          <w:lang w:eastAsia="pl-PL"/>
        </w:rPr>
        <w:t>1</w:t>
      </w:r>
      <w:r w:rsidRPr="00524024">
        <w:rPr>
          <w:rFonts w:ascii="Arial" w:hAnsi="Arial" w:cs="Arial"/>
          <w:lang w:eastAsia="pl-PL"/>
        </w:rPr>
        <w:t xml:space="preserve"> roku, przewidywane </w:t>
      </w:r>
      <w:r w:rsidR="00032486">
        <w:rPr>
          <w:rFonts w:ascii="Arial" w:hAnsi="Arial" w:cs="Arial"/>
          <w:lang w:eastAsia="pl-PL"/>
        </w:rPr>
        <w:t>wykonanie budżetu na koniec 2021</w:t>
      </w:r>
      <w:r w:rsidRPr="00524024">
        <w:rPr>
          <w:rFonts w:ascii="Arial" w:hAnsi="Arial" w:cs="Arial"/>
          <w:lang w:eastAsia="pl-PL"/>
        </w:rPr>
        <w:t xml:space="preserve"> roku oraz wytyczne Ministra Finansów dotyczące założeń makroekonomicznych dla potrzeb sporządzania wieloletnich prognoz finansowych jednostek samorządu terytorialnego.</w:t>
      </w:r>
    </w:p>
    <w:p w:rsidR="00524024" w:rsidRDefault="00524024" w:rsidP="00524024">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hAnsi="Arial" w:cs="Arial"/>
          <w:lang w:eastAsia="pl-PL"/>
        </w:rPr>
      </w:pPr>
      <w:r w:rsidRPr="00524024">
        <w:rPr>
          <w:rFonts w:ascii="Arial" w:hAnsi="Arial" w:cs="Arial"/>
          <w:lang w:eastAsia="pl-PL"/>
        </w:rPr>
        <w:t xml:space="preserve">Art. 227 ust. 1 ustawy z dnia 27 sierpnia 2009 </w:t>
      </w:r>
      <w:r w:rsidR="00D53E82">
        <w:rPr>
          <w:rFonts w:ascii="Arial" w:hAnsi="Arial" w:cs="Arial"/>
          <w:lang w:eastAsia="pl-PL"/>
        </w:rPr>
        <w:t>r. o finansach publicznych (Dz.U z 20</w:t>
      </w:r>
      <w:r w:rsidR="00032486">
        <w:rPr>
          <w:rFonts w:ascii="Arial" w:hAnsi="Arial" w:cs="Arial"/>
          <w:lang w:eastAsia="pl-PL"/>
        </w:rPr>
        <w:t>21</w:t>
      </w:r>
      <w:r w:rsidR="00D53E82">
        <w:rPr>
          <w:rFonts w:ascii="Arial" w:hAnsi="Arial" w:cs="Arial"/>
          <w:lang w:eastAsia="pl-PL"/>
        </w:rPr>
        <w:t xml:space="preserve">r. poz. </w:t>
      </w:r>
      <w:r w:rsidR="00032486">
        <w:rPr>
          <w:rFonts w:ascii="Arial" w:hAnsi="Arial" w:cs="Arial"/>
          <w:lang w:eastAsia="pl-PL"/>
        </w:rPr>
        <w:t>305</w:t>
      </w:r>
      <w:r w:rsidR="00D53E82">
        <w:rPr>
          <w:rFonts w:ascii="Arial" w:hAnsi="Arial" w:cs="Arial"/>
          <w:lang w:eastAsia="pl-PL"/>
        </w:rPr>
        <w:t xml:space="preserve"> z pó</w:t>
      </w:r>
      <w:r w:rsidRPr="00524024">
        <w:rPr>
          <w:rFonts w:ascii="Arial" w:hAnsi="Arial" w:cs="Arial"/>
          <w:lang w:eastAsia="pl-PL"/>
        </w:rPr>
        <w:t>źn. zm.) zakłada, iż wieloletnia prognoza finansowa obejmuje okres roku budżetowego oraz co najmniej trzech kolejnych lat budżetowych. Z ust. 2 powołanego artykułu wynika, iż prognozę kwoty długu, stanowiącą integralną część wieloletniej prognozy finansowej, sporządza się na okres, na który zaciągnięto lub planuje się zaciągnąć zobowiązanie. Na dzień podjęcia uchwały, spłatę zobowiązań przewiduje się do roku 203</w:t>
      </w:r>
      <w:r w:rsidR="004A04B9">
        <w:rPr>
          <w:rFonts w:ascii="Arial" w:hAnsi="Arial" w:cs="Arial"/>
          <w:lang w:eastAsia="pl-PL"/>
        </w:rPr>
        <w:t>7</w:t>
      </w:r>
      <w:r w:rsidRPr="00524024">
        <w:rPr>
          <w:rFonts w:ascii="Arial" w:hAnsi="Arial" w:cs="Arial"/>
          <w:lang w:eastAsia="pl-PL"/>
        </w:rPr>
        <w:t>. W związku z powyższym, Wieloletnia Prognoza Finansowa Miasta Łomża została przygotowana na lata 202</w:t>
      </w:r>
      <w:r w:rsidR="00032486">
        <w:rPr>
          <w:rFonts w:ascii="Arial" w:hAnsi="Arial" w:cs="Arial"/>
          <w:lang w:eastAsia="pl-PL"/>
        </w:rPr>
        <w:t>2</w:t>
      </w:r>
      <w:r w:rsidRPr="00524024">
        <w:rPr>
          <w:rFonts w:ascii="Arial" w:hAnsi="Arial" w:cs="Arial"/>
          <w:lang w:eastAsia="pl-PL"/>
        </w:rPr>
        <w:t>-203</w:t>
      </w:r>
      <w:r w:rsidR="004A04B9">
        <w:rPr>
          <w:rFonts w:ascii="Arial" w:hAnsi="Arial" w:cs="Arial"/>
          <w:lang w:eastAsia="pl-PL"/>
        </w:rPr>
        <w:t>7</w:t>
      </w:r>
      <w:r w:rsidRPr="00524024">
        <w:rPr>
          <w:rFonts w:ascii="Arial" w:hAnsi="Arial" w:cs="Arial"/>
          <w:lang w:eastAsia="pl-PL"/>
        </w:rPr>
        <w:t>.</w:t>
      </w:r>
    </w:p>
    <w:p w:rsidR="00C31C11" w:rsidRPr="00524024" w:rsidRDefault="00C31C11" w:rsidP="00524024">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hAnsi="Arial" w:cs="Arial"/>
          <w:lang w:eastAsia="pl-PL"/>
        </w:rPr>
      </w:pPr>
    </w:p>
    <w:p w:rsidR="00524024" w:rsidRPr="00524024" w:rsidRDefault="00524024" w:rsidP="00524024">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hAnsi="Arial" w:cs="Arial"/>
          <w:color w:val="FF0000"/>
          <w:lang w:eastAsia="pl-PL"/>
        </w:rPr>
      </w:pP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b/>
          <w:bCs/>
          <w:lang w:eastAsia="pl-PL"/>
        </w:rPr>
      </w:pPr>
      <w:r w:rsidRPr="00524024">
        <w:rPr>
          <w:rFonts w:ascii="Arial" w:hAnsi="Arial" w:cs="Arial"/>
          <w:b/>
          <w:bCs/>
          <w:lang w:eastAsia="pl-PL"/>
        </w:rPr>
        <w:t xml:space="preserve">1. Dochody bieżące </w:t>
      </w:r>
    </w:p>
    <w:p w:rsidR="00524024" w:rsidRDefault="00524024" w:rsidP="001E6A50">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hAnsi="Arial" w:cs="Arial"/>
          <w:lang w:eastAsia="pl-PL"/>
        </w:rPr>
      </w:pPr>
      <w:r w:rsidRPr="00524024">
        <w:rPr>
          <w:rFonts w:ascii="Arial" w:hAnsi="Arial" w:cs="Arial"/>
          <w:lang w:eastAsia="pl-PL"/>
        </w:rPr>
        <w:t>Szczegółowy opis dochodów</w:t>
      </w:r>
      <w:r w:rsidR="00E37691">
        <w:rPr>
          <w:rFonts w:ascii="Arial" w:hAnsi="Arial" w:cs="Arial"/>
          <w:lang w:eastAsia="pl-PL"/>
        </w:rPr>
        <w:t xml:space="preserve"> bieżących</w:t>
      </w:r>
      <w:r w:rsidRPr="00524024">
        <w:rPr>
          <w:rFonts w:ascii="Arial" w:hAnsi="Arial" w:cs="Arial"/>
          <w:lang w:eastAsia="pl-PL"/>
        </w:rPr>
        <w:t xml:space="preserve"> planowanych do osiągnięcia w 202</w:t>
      </w:r>
      <w:r w:rsidR="00032486">
        <w:rPr>
          <w:rFonts w:ascii="Arial" w:hAnsi="Arial" w:cs="Arial"/>
          <w:lang w:eastAsia="pl-PL"/>
        </w:rPr>
        <w:t>2</w:t>
      </w:r>
      <w:r w:rsidRPr="00524024">
        <w:rPr>
          <w:rFonts w:ascii="Arial" w:hAnsi="Arial" w:cs="Arial"/>
          <w:lang w:eastAsia="pl-PL"/>
        </w:rPr>
        <w:t xml:space="preserve"> r. został przedstawiony w projekcie budżetu</w:t>
      </w:r>
      <w:r w:rsidRPr="00E37691">
        <w:rPr>
          <w:rFonts w:ascii="Arial" w:hAnsi="Arial" w:cs="Arial"/>
          <w:lang w:eastAsia="pl-PL"/>
        </w:rPr>
        <w:t>.</w:t>
      </w:r>
      <w:r w:rsidR="0065036A">
        <w:rPr>
          <w:rFonts w:ascii="Arial" w:hAnsi="Arial" w:cs="Arial"/>
          <w:lang w:eastAsia="pl-PL"/>
        </w:rPr>
        <w:t xml:space="preserve"> W latach 2019, 2020 i 2021 w dochodach bieżących wykazywane były wydatki na 500+ w kwocie około 62 mln rocznie. W 2022 r. w porównaniu do 2021 r. zaplanowano mniejsze dochody </w:t>
      </w:r>
      <w:r w:rsidR="00D64F97">
        <w:rPr>
          <w:rFonts w:ascii="Arial" w:hAnsi="Arial" w:cs="Arial"/>
          <w:lang w:eastAsia="pl-PL"/>
        </w:rPr>
        <w:t xml:space="preserve">bieżące </w:t>
      </w:r>
      <w:r w:rsidR="0065036A">
        <w:rPr>
          <w:rFonts w:ascii="Arial" w:hAnsi="Arial" w:cs="Arial"/>
          <w:lang w:eastAsia="pl-PL"/>
        </w:rPr>
        <w:t>o kwotę ponad 3</w:t>
      </w:r>
      <w:r w:rsidR="00E37691">
        <w:rPr>
          <w:rFonts w:ascii="Arial" w:hAnsi="Arial" w:cs="Arial"/>
          <w:lang w:eastAsia="pl-PL"/>
        </w:rPr>
        <w:t>7</w:t>
      </w:r>
      <w:r w:rsidR="0065036A">
        <w:rPr>
          <w:rFonts w:ascii="Arial" w:hAnsi="Arial" w:cs="Arial"/>
          <w:lang w:eastAsia="pl-PL"/>
        </w:rPr>
        <w:t xml:space="preserve"> mln zł, </w:t>
      </w:r>
      <w:r w:rsidR="00E37691">
        <w:rPr>
          <w:rFonts w:ascii="Arial" w:hAnsi="Arial" w:cs="Arial"/>
          <w:lang w:eastAsia="pl-PL"/>
        </w:rPr>
        <w:t>ze względu na niższą</w:t>
      </w:r>
      <w:r w:rsidR="0065036A">
        <w:rPr>
          <w:rFonts w:ascii="Arial" w:hAnsi="Arial" w:cs="Arial"/>
          <w:lang w:eastAsia="pl-PL"/>
        </w:rPr>
        <w:t xml:space="preserve"> </w:t>
      </w:r>
      <w:r w:rsidR="00E37691">
        <w:rPr>
          <w:rFonts w:ascii="Arial" w:hAnsi="Arial" w:cs="Arial"/>
          <w:lang w:eastAsia="pl-PL"/>
        </w:rPr>
        <w:t>dotację</w:t>
      </w:r>
      <w:r w:rsidR="0065036A">
        <w:rPr>
          <w:rFonts w:ascii="Arial" w:hAnsi="Arial" w:cs="Arial"/>
          <w:lang w:eastAsia="pl-PL"/>
        </w:rPr>
        <w:t xml:space="preserve"> na świadczenia wychowawcze, w związku z przeniesieniem tego zadania od drugiej połowy 2022 r. do realizacji Zakładowi Ubezpieczeń Społecznych. W 2023 r. zmniejszono dochody bieżące o pozostałą kwotę świadczeń wychowawczych, t.j. o ponad </w:t>
      </w:r>
      <w:r w:rsidR="00C31C11">
        <w:rPr>
          <w:rFonts w:ascii="Arial" w:hAnsi="Arial" w:cs="Arial"/>
          <w:lang w:eastAsia="pl-PL"/>
        </w:rPr>
        <w:br/>
      </w:r>
      <w:r w:rsidR="0065036A">
        <w:rPr>
          <w:rFonts w:ascii="Arial" w:hAnsi="Arial" w:cs="Arial"/>
          <w:lang w:eastAsia="pl-PL"/>
        </w:rPr>
        <w:t>25 mln zł</w:t>
      </w:r>
      <w:r w:rsidR="00A763C0">
        <w:rPr>
          <w:rFonts w:ascii="Arial" w:hAnsi="Arial" w:cs="Arial"/>
          <w:lang w:eastAsia="pl-PL"/>
        </w:rPr>
        <w:t xml:space="preserve">. </w:t>
      </w:r>
    </w:p>
    <w:p w:rsidR="00C31C11" w:rsidRPr="004A04B9" w:rsidRDefault="00C31C11" w:rsidP="001E6A50">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hAnsi="Arial" w:cs="Arial"/>
          <w:lang w:eastAsia="pl-PL"/>
        </w:rPr>
      </w:pPr>
    </w:p>
    <w:p w:rsidR="00524024" w:rsidRDefault="0065036A"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Pr>
          <w:rFonts w:ascii="Arial" w:hAnsi="Arial" w:cs="Arial"/>
          <w:lang w:eastAsia="pl-PL"/>
        </w:rPr>
        <w:t>W latach 2024</w:t>
      </w:r>
      <w:r w:rsidR="00512A13" w:rsidRPr="004A04B9">
        <w:rPr>
          <w:rFonts w:ascii="Arial" w:hAnsi="Arial" w:cs="Arial"/>
          <w:lang w:eastAsia="pl-PL"/>
        </w:rPr>
        <w:t>-</w:t>
      </w:r>
      <w:r w:rsidR="004A04B9" w:rsidRPr="004A04B9">
        <w:rPr>
          <w:rFonts w:ascii="Arial" w:hAnsi="Arial" w:cs="Arial"/>
          <w:lang w:eastAsia="pl-PL"/>
        </w:rPr>
        <w:t>2026</w:t>
      </w:r>
      <w:r w:rsidR="00524024" w:rsidRPr="004A04B9">
        <w:rPr>
          <w:rFonts w:ascii="Arial" w:hAnsi="Arial" w:cs="Arial"/>
          <w:lang w:eastAsia="pl-PL"/>
        </w:rPr>
        <w:t xml:space="preserve"> zaplanowano wzrost </w:t>
      </w:r>
      <w:r w:rsidR="005C1E14" w:rsidRPr="004A04B9">
        <w:rPr>
          <w:rFonts w:ascii="Arial" w:hAnsi="Arial" w:cs="Arial"/>
          <w:lang w:eastAsia="pl-PL"/>
        </w:rPr>
        <w:t>dochodów bieżących</w:t>
      </w:r>
      <w:r w:rsidR="00F3736A" w:rsidRPr="00F3736A">
        <w:rPr>
          <w:rFonts w:ascii="Arial" w:hAnsi="Arial" w:cs="Arial"/>
          <w:lang w:eastAsia="pl-PL"/>
        </w:rPr>
        <w:t xml:space="preserve"> </w:t>
      </w:r>
      <w:r w:rsidR="00F3736A" w:rsidRPr="00A763C0">
        <w:rPr>
          <w:rFonts w:ascii="Arial" w:hAnsi="Arial" w:cs="Arial"/>
          <w:lang w:eastAsia="pl-PL"/>
        </w:rPr>
        <w:t>od 1</w:t>
      </w:r>
      <w:r w:rsidR="00F3736A">
        <w:rPr>
          <w:rFonts w:ascii="Arial" w:hAnsi="Arial" w:cs="Arial"/>
          <w:lang w:eastAsia="pl-PL"/>
        </w:rPr>
        <w:t>% do</w:t>
      </w:r>
      <w:r w:rsidR="00F3736A" w:rsidRPr="004A04B9">
        <w:rPr>
          <w:rFonts w:ascii="Arial" w:hAnsi="Arial" w:cs="Arial"/>
          <w:lang w:eastAsia="pl-PL"/>
        </w:rPr>
        <w:t xml:space="preserve"> 3%</w:t>
      </w:r>
      <w:r w:rsidR="005C4333">
        <w:rPr>
          <w:rFonts w:ascii="Arial" w:hAnsi="Arial" w:cs="Arial"/>
          <w:lang w:eastAsia="pl-PL"/>
        </w:rPr>
        <w:t xml:space="preserve">. Dochody realizowane przez Urzędy Skarbowe zaplanowano w oparciu o szacowane wpływy w 2021 r., </w:t>
      </w:r>
      <w:r w:rsidR="005C4333">
        <w:rPr>
          <w:rFonts w:ascii="Arial" w:hAnsi="Arial" w:cs="Arial"/>
          <w:lang w:eastAsia="pl-PL"/>
        </w:rPr>
        <w:lastRenderedPageBreak/>
        <w:t>udziały</w:t>
      </w:r>
      <w:r w:rsidR="00F3736A">
        <w:rPr>
          <w:rFonts w:ascii="Arial" w:hAnsi="Arial" w:cs="Arial"/>
          <w:lang w:eastAsia="pl-PL"/>
        </w:rPr>
        <w:t xml:space="preserve"> w</w:t>
      </w:r>
      <w:r w:rsidR="005C4333">
        <w:rPr>
          <w:rFonts w:ascii="Arial" w:hAnsi="Arial" w:cs="Arial"/>
          <w:lang w:eastAsia="pl-PL"/>
        </w:rPr>
        <w:t xml:space="preserve"> CIT zaplanowano na podstawie informacji przek</w:t>
      </w:r>
      <w:r w:rsidR="00D524F1">
        <w:rPr>
          <w:rFonts w:ascii="Arial" w:hAnsi="Arial" w:cs="Arial"/>
          <w:lang w:eastAsia="pl-PL"/>
        </w:rPr>
        <w:t xml:space="preserve">azanej przez Ministra Finansów. </w:t>
      </w:r>
      <w:r w:rsidR="005C4333">
        <w:rPr>
          <w:rFonts w:ascii="Arial" w:hAnsi="Arial" w:cs="Arial"/>
          <w:lang w:eastAsia="pl-PL"/>
        </w:rPr>
        <w:t>Dochody z tytułu podatków i opłat lokalnych zaplanowano w wyższej kwocie w związku ze zwiększeniem stawki za 1</w:t>
      </w:r>
      <w:r w:rsidR="00E37691">
        <w:rPr>
          <w:rFonts w:ascii="Arial" w:hAnsi="Arial" w:cs="Arial"/>
          <w:lang w:eastAsia="pl-PL"/>
        </w:rPr>
        <w:t xml:space="preserve"> m</w:t>
      </w:r>
      <w:r w:rsidR="005C4333">
        <w:rPr>
          <w:rFonts w:ascii="Arial" w:hAnsi="Arial" w:cs="Arial"/>
          <w:lang w:eastAsia="pl-PL"/>
        </w:rPr>
        <w:t xml:space="preserve"> </w:t>
      </w:r>
      <w:r w:rsidR="005C4333" w:rsidRPr="00E37691">
        <w:rPr>
          <w:rFonts w:ascii="Arial" w:hAnsi="Arial" w:cs="Arial"/>
          <w:vertAlign w:val="superscript"/>
          <w:lang w:eastAsia="pl-PL"/>
        </w:rPr>
        <w:t>2</w:t>
      </w:r>
      <w:r w:rsidR="005C4333">
        <w:rPr>
          <w:rFonts w:ascii="Arial" w:hAnsi="Arial" w:cs="Arial"/>
          <w:lang w:eastAsia="pl-PL"/>
        </w:rPr>
        <w:t xml:space="preserve"> podatku od nieruchomości na 2022  r. oraz </w:t>
      </w:r>
      <w:r w:rsidR="00E37691">
        <w:rPr>
          <w:rFonts w:ascii="Arial" w:hAnsi="Arial" w:cs="Arial"/>
          <w:lang w:eastAsia="pl-PL"/>
        </w:rPr>
        <w:t>prognozowanej większej</w:t>
      </w:r>
      <w:r w:rsidR="005C4333">
        <w:rPr>
          <w:rFonts w:ascii="Arial" w:hAnsi="Arial" w:cs="Arial"/>
          <w:lang w:eastAsia="pl-PL"/>
        </w:rPr>
        <w:t xml:space="preserve"> podstawy opodatkowania.</w:t>
      </w:r>
      <w:r w:rsidR="00A763C0" w:rsidRPr="00A763C0">
        <w:rPr>
          <w:rFonts w:ascii="Arial" w:hAnsi="Arial" w:cs="Arial"/>
          <w:lang w:eastAsia="pl-PL"/>
        </w:rPr>
        <w:t xml:space="preserve"> </w:t>
      </w:r>
      <w:r w:rsidR="005C4333">
        <w:rPr>
          <w:rFonts w:ascii="Arial" w:hAnsi="Arial" w:cs="Arial"/>
          <w:lang w:eastAsia="pl-PL"/>
        </w:rPr>
        <w:t>W</w:t>
      </w:r>
      <w:r w:rsidR="00524024" w:rsidRPr="004A04B9">
        <w:rPr>
          <w:rFonts w:ascii="Arial" w:hAnsi="Arial" w:cs="Arial"/>
          <w:lang w:eastAsia="pl-PL"/>
        </w:rPr>
        <w:t xml:space="preserve"> latach 202</w:t>
      </w:r>
      <w:r w:rsidR="004A04B9" w:rsidRPr="004A04B9">
        <w:rPr>
          <w:rFonts w:ascii="Arial" w:hAnsi="Arial" w:cs="Arial"/>
          <w:lang w:eastAsia="pl-PL"/>
        </w:rPr>
        <w:t>7-2037</w:t>
      </w:r>
      <w:r w:rsidR="00524024" w:rsidRPr="004A04B9">
        <w:rPr>
          <w:rFonts w:ascii="Arial" w:hAnsi="Arial" w:cs="Arial"/>
          <w:lang w:eastAsia="pl-PL"/>
        </w:rPr>
        <w:t xml:space="preserve"> założono utrzymanie dochodów bieżącyc</w:t>
      </w:r>
      <w:r w:rsidR="00624956" w:rsidRPr="004A04B9">
        <w:rPr>
          <w:rFonts w:ascii="Arial" w:hAnsi="Arial" w:cs="Arial"/>
          <w:lang w:eastAsia="pl-PL"/>
        </w:rPr>
        <w:t xml:space="preserve">h na stałym </w:t>
      </w:r>
      <w:r w:rsidR="00B117F5" w:rsidRPr="004A04B9">
        <w:rPr>
          <w:rFonts w:ascii="Arial" w:hAnsi="Arial" w:cs="Arial"/>
          <w:lang w:eastAsia="pl-PL"/>
        </w:rPr>
        <w:t>poziomie z roku 202</w:t>
      </w:r>
      <w:r w:rsidR="004A04B9" w:rsidRPr="004A04B9">
        <w:rPr>
          <w:rFonts w:ascii="Arial" w:hAnsi="Arial" w:cs="Arial"/>
          <w:lang w:eastAsia="pl-PL"/>
        </w:rPr>
        <w:t>7</w:t>
      </w:r>
      <w:r w:rsidR="00524024" w:rsidRPr="004A04B9">
        <w:rPr>
          <w:rFonts w:ascii="Arial" w:hAnsi="Arial" w:cs="Arial"/>
          <w:lang w:eastAsia="pl-PL"/>
        </w:rPr>
        <w:t xml:space="preserve"> r., ponieważ trudno jest przewidzieć na jakim poziomie będą kształtowały się</w:t>
      </w:r>
      <w:r w:rsidR="00F3736A">
        <w:rPr>
          <w:rFonts w:ascii="Arial" w:hAnsi="Arial" w:cs="Arial"/>
          <w:lang w:eastAsia="pl-PL"/>
        </w:rPr>
        <w:t xml:space="preserve"> ostatecznie</w:t>
      </w:r>
      <w:r w:rsidR="00524024" w:rsidRPr="004A04B9">
        <w:rPr>
          <w:rFonts w:ascii="Arial" w:hAnsi="Arial" w:cs="Arial"/>
          <w:lang w:eastAsia="pl-PL"/>
        </w:rPr>
        <w:t xml:space="preserve"> dochody</w:t>
      </w:r>
      <w:r w:rsidR="0087180B">
        <w:rPr>
          <w:rFonts w:ascii="Arial" w:hAnsi="Arial" w:cs="Arial"/>
          <w:lang w:eastAsia="pl-PL"/>
        </w:rPr>
        <w:t xml:space="preserve">. </w:t>
      </w:r>
      <w:r w:rsidR="00F3736A">
        <w:rPr>
          <w:rFonts w:ascii="Arial" w:hAnsi="Arial" w:cs="Arial"/>
          <w:lang w:eastAsia="pl-PL"/>
        </w:rPr>
        <w:t xml:space="preserve">Dochody bieżące w ciągu roku 2021 r. z tytułu subwencji z budżetu państwa </w:t>
      </w:r>
      <w:r w:rsidR="00F3736A" w:rsidRPr="00BF29CE">
        <w:rPr>
          <w:rFonts w:ascii="Arial" w:hAnsi="Arial" w:cs="Arial"/>
          <w:lang w:eastAsia="pl-PL"/>
        </w:rPr>
        <w:t xml:space="preserve">wzrosły o </w:t>
      </w:r>
      <w:r w:rsidR="00347FBE">
        <w:rPr>
          <w:rFonts w:ascii="Arial" w:hAnsi="Arial" w:cs="Arial"/>
          <w:lang w:eastAsia="pl-PL"/>
        </w:rPr>
        <w:t>18.663.188 zł tj. 14,13% w stosunku do planowanej w projekcie budżetu na 2021 r.</w:t>
      </w:r>
      <w:r w:rsidR="00F3736A" w:rsidRPr="00BF29CE">
        <w:rPr>
          <w:rFonts w:ascii="Arial" w:hAnsi="Arial" w:cs="Arial"/>
          <w:lang w:eastAsia="pl-PL"/>
        </w:rPr>
        <w:t xml:space="preserve">  W 2022</w:t>
      </w:r>
      <w:r w:rsidR="00F3736A">
        <w:rPr>
          <w:rFonts w:ascii="Arial" w:hAnsi="Arial" w:cs="Arial"/>
          <w:lang w:eastAsia="pl-PL"/>
        </w:rPr>
        <w:t xml:space="preserve"> r. wzorem lat ubiegłych </w:t>
      </w:r>
      <w:r w:rsidR="00347FBE">
        <w:rPr>
          <w:rFonts w:ascii="Arial" w:hAnsi="Arial" w:cs="Arial"/>
          <w:lang w:eastAsia="pl-PL"/>
        </w:rPr>
        <w:t>liczymy</w:t>
      </w:r>
      <w:r w:rsidR="00F3736A">
        <w:rPr>
          <w:rFonts w:ascii="Arial" w:hAnsi="Arial" w:cs="Arial"/>
          <w:lang w:eastAsia="pl-PL"/>
        </w:rPr>
        <w:t xml:space="preserve"> na dodatkowe wpływy z budżetu państwa, które pozwolą nam na realizację wydatków bieżących</w:t>
      </w:r>
      <w:r w:rsidR="0087180B">
        <w:rPr>
          <w:rFonts w:ascii="Arial" w:hAnsi="Arial" w:cs="Arial"/>
          <w:lang w:eastAsia="pl-PL"/>
        </w:rPr>
        <w:t xml:space="preserve"> oraz wygospodarowanie nadwyżki operacyjnej na wyższym poziomie.</w:t>
      </w:r>
    </w:p>
    <w:p w:rsidR="00C31C11" w:rsidRPr="00524024" w:rsidRDefault="00C31C11"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b/>
          <w:bCs/>
          <w:lang w:eastAsia="pl-PL"/>
        </w:rPr>
      </w:pPr>
      <w:r w:rsidRPr="00524024">
        <w:rPr>
          <w:rFonts w:ascii="Arial" w:hAnsi="Arial" w:cs="Arial"/>
          <w:b/>
          <w:bCs/>
          <w:lang w:eastAsia="pl-PL"/>
        </w:rPr>
        <w:t>2. Dochody majątkowe</w:t>
      </w:r>
    </w:p>
    <w:p w:rsidR="004A04B9" w:rsidRPr="006B4DEB" w:rsidRDefault="001E6A50" w:rsidP="001E6A50">
      <w:pPr>
        <w:spacing w:after="0"/>
        <w:ind w:right="110"/>
        <w:jc w:val="both"/>
        <w:rPr>
          <w:rFonts w:ascii="Arial" w:hAnsi="Arial" w:cs="Arial"/>
        </w:rPr>
      </w:pPr>
      <w:r>
        <w:rPr>
          <w:rFonts w:ascii="Arial" w:hAnsi="Arial" w:cs="Arial"/>
          <w:lang w:eastAsia="pl-PL"/>
        </w:rPr>
        <w:t xml:space="preserve"> </w:t>
      </w:r>
      <w:r w:rsidR="00524024" w:rsidRPr="006B4DEB">
        <w:rPr>
          <w:rFonts w:ascii="Arial" w:hAnsi="Arial" w:cs="Arial"/>
          <w:lang w:eastAsia="pl-PL"/>
        </w:rPr>
        <w:t xml:space="preserve">Dochody majątkowe ustalono w oparciu o zawarte umowy i wydane decyzje oraz zamierzenia aktualizacji ich dotychczasowych wartości, a w zakresie sprzedaży </w:t>
      </w:r>
      <w:r w:rsidR="00524024" w:rsidRPr="006B4DEB">
        <w:rPr>
          <w:rFonts w:ascii="Arial" w:hAnsi="Arial" w:cs="Arial"/>
          <w:lang w:eastAsia="pl-PL"/>
        </w:rPr>
        <w:br/>
        <w:t>o szacunek uwzględniający aktualne ceny rynkowe. W 202</w:t>
      </w:r>
      <w:r w:rsidR="00032486" w:rsidRPr="006B4DEB">
        <w:rPr>
          <w:rFonts w:ascii="Arial" w:hAnsi="Arial" w:cs="Arial"/>
          <w:lang w:eastAsia="pl-PL"/>
        </w:rPr>
        <w:t>2</w:t>
      </w:r>
      <w:r w:rsidR="006B4DEB">
        <w:rPr>
          <w:rFonts w:ascii="Arial" w:hAnsi="Arial" w:cs="Arial"/>
          <w:lang w:eastAsia="pl-PL"/>
        </w:rPr>
        <w:t xml:space="preserve"> roku </w:t>
      </w:r>
      <w:r w:rsidR="006B4DEB" w:rsidRPr="006B4DEB">
        <w:rPr>
          <w:rFonts w:ascii="Arial" w:hAnsi="Arial" w:cs="Arial"/>
        </w:rPr>
        <w:t>planuje się sprzedaż działek na polepszenie warunków zagospodarowania, sprzedaż nieruchomości pod SSSE przy ul. Spokojnej, sprzedaż działek położonych w rejonie ulic Żabiej, Kolejowej i Geodetów oraz ulic Saperskiej i Narodowych Sił Zbrojnych.</w:t>
      </w:r>
      <w:r w:rsidR="006B4DEB">
        <w:rPr>
          <w:rFonts w:ascii="Arial" w:hAnsi="Arial" w:cs="Arial"/>
        </w:rPr>
        <w:t xml:space="preserve"> </w:t>
      </w:r>
      <w:r w:rsidR="00524024" w:rsidRPr="00696C68">
        <w:rPr>
          <w:rFonts w:ascii="Arial" w:hAnsi="Arial" w:cs="Arial"/>
          <w:lang w:eastAsia="pl-PL"/>
        </w:rPr>
        <w:t xml:space="preserve">W kolejnych latach dochody zaplanowano na poziomie </w:t>
      </w:r>
      <w:r w:rsidR="006B7C05" w:rsidRPr="00696C68">
        <w:rPr>
          <w:rFonts w:ascii="Arial" w:hAnsi="Arial" w:cs="Arial"/>
          <w:lang w:eastAsia="pl-PL"/>
        </w:rPr>
        <w:t>możliwym do uzyskania zgodnie z wykazem</w:t>
      </w:r>
      <w:r w:rsidR="00524024" w:rsidRPr="00696C68">
        <w:rPr>
          <w:rFonts w:ascii="Arial" w:hAnsi="Arial" w:cs="Arial"/>
          <w:lang w:eastAsia="pl-PL"/>
        </w:rPr>
        <w:t xml:space="preserve"> mienia planowanego do sprzedaży</w:t>
      </w:r>
      <w:r w:rsidR="00524024" w:rsidRPr="00696C68">
        <w:rPr>
          <w:rFonts w:ascii="Arial" w:hAnsi="Arial" w:cs="Arial"/>
          <w:color w:val="000000"/>
          <w:lang w:eastAsia="pl-PL"/>
        </w:rPr>
        <w:t>.</w:t>
      </w:r>
      <w:r w:rsidR="004A04B9" w:rsidRPr="00696C68">
        <w:rPr>
          <w:bCs/>
        </w:rPr>
        <w:t xml:space="preserve"> </w:t>
      </w:r>
    </w:p>
    <w:p w:rsidR="00524024" w:rsidRDefault="00524024" w:rsidP="001E6A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hAnsi="Arial" w:cs="Arial"/>
          <w:lang w:eastAsia="pl-PL"/>
        </w:rPr>
      </w:pPr>
      <w:r w:rsidRPr="00524024">
        <w:rPr>
          <w:rFonts w:ascii="Arial" w:hAnsi="Arial" w:cs="Arial"/>
          <w:lang w:eastAsia="pl-PL"/>
        </w:rPr>
        <w:t xml:space="preserve">Dochody z tytułu dotacji oraz środków przeznaczonych na inwestycje oszacowano </w:t>
      </w:r>
      <w:r w:rsidRPr="00524024">
        <w:rPr>
          <w:rFonts w:ascii="Arial" w:hAnsi="Arial" w:cs="Arial"/>
          <w:lang w:eastAsia="pl-PL"/>
        </w:rPr>
        <w:br/>
        <w:t xml:space="preserve">z uwzględnieniem planowanych terminów składania wniosków o płatność oraz wynikającego z umowy czasu ich weryfikacji i poświadczenia przez odpowiednią instytucję. Podjęte będą działania zwiększające dochody przy pojawiających się możliwościach sfinansowania inwestycji ze środków zewnętrznych.  </w:t>
      </w:r>
    </w:p>
    <w:p w:rsidR="00C31C11" w:rsidRDefault="00C31C11" w:rsidP="001E6A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hAnsi="Arial" w:cs="Arial"/>
          <w:lang w:eastAsia="pl-PL"/>
        </w:rPr>
      </w:pPr>
    </w:p>
    <w:p w:rsidR="00C31C11" w:rsidRPr="00524024" w:rsidRDefault="00C31C11" w:rsidP="001E6A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hAnsi="Arial" w:cs="Arial"/>
          <w:lang w:eastAsia="pl-PL"/>
        </w:rPr>
      </w:pPr>
    </w:p>
    <w:p w:rsidR="00524024" w:rsidRPr="00524024" w:rsidRDefault="00524024" w:rsidP="001E6A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200" w:line="276" w:lineRule="auto"/>
        <w:jc w:val="both"/>
        <w:rPr>
          <w:rFonts w:ascii="Arial" w:hAnsi="Arial" w:cs="Arial"/>
          <w:b/>
          <w:bCs/>
          <w:lang w:eastAsia="pl-PL"/>
        </w:rPr>
      </w:pPr>
      <w:r w:rsidRPr="00524024">
        <w:rPr>
          <w:rFonts w:ascii="Arial" w:hAnsi="Arial" w:cs="Arial"/>
          <w:b/>
          <w:bCs/>
          <w:lang w:eastAsia="pl-PL"/>
        </w:rPr>
        <w:t xml:space="preserve"> 3. Wydatki bieżące </w:t>
      </w:r>
    </w:p>
    <w:p w:rsidR="000A2F0D" w:rsidRDefault="00524024" w:rsidP="001E6A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hAnsi="Arial" w:cs="Arial"/>
          <w:lang w:eastAsia="pl-PL"/>
        </w:rPr>
      </w:pPr>
      <w:r w:rsidRPr="00524024">
        <w:rPr>
          <w:rFonts w:ascii="Arial" w:hAnsi="Arial" w:cs="Arial"/>
          <w:lang w:eastAsia="pl-PL"/>
        </w:rPr>
        <w:t>Wydatki bieżące na 202</w:t>
      </w:r>
      <w:r w:rsidR="00032486">
        <w:rPr>
          <w:rFonts w:ascii="Arial" w:hAnsi="Arial" w:cs="Arial"/>
          <w:lang w:eastAsia="pl-PL"/>
        </w:rPr>
        <w:t>2</w:t>
      </w:r>
      <w:r w:rsidRPr="00524024">
        <w:rPr>
          <w:rFonts w:ascii="Arial" w:hAnsi="Arial" w:cs="Arial"/>
          <w:lang w:eastAsia="pl-PL"/>
        </w:rPr>
        <w:t xml:space="preserve"> r. zostały zaplanowane na podstawie zgromadzonych infor</w:t>
      </w:r>
      <w:r w:rsidR="000A2F0D">
        <w:rPr>
          <w:rFonts w:ascii="Arial" w:hAnsi="Arial" w:cs="Arial"/>
          <w:lang w:eastAsia="pl-PL"/>
        </w:rPr>
        <w:t>macji do projektu budżetu</w:t>
      </w:r>
      <w:r w:rsidRPr="00524024">
        <w:rPr>
          <w:rFonts w:ascii="Arial" w:hAnsi="Arial" w:cs="Arial"/>
          <w:lang w:eastAsia="pl-PL"/>
        </w:rPr>
        <w:t xml:space="preserve">. </w:t>
      </w:r>
      <w:r w:rsidR="00A763C0">
        <w:rPr>
          <w:rFonts w:ascii="Arial" w:hAnsi="Arial" w:cs="Arial"/>
          <w:lang w:eastAsia="pl-PL"/>
        </w:rPr>
        <w:t>Analogicznie do dochodów bieżących, również wydatki związane ze świadczeniami wychowawczymi zostały zmniejszone o kwotę ponad 3</w:t>
      </w:r>
      <w:r w:rsidR="00E37691">
        <w:rPr>
          <w:rFonts w:ascii="Arial" w:hAnsi="Arial" w:cs="Arial"/>
          <w:lang w:eastAsia="pl-PL"/>
        </w:rPr>
        <w:t>7</w:t>
      </w:r>
      <w:r w:rsidR="00A763C0">
        <w:rPr>
          <w:rFonts w:ascii="Arial" w:hAnsi="Arial" w:cs="Arial"/>
          <w:lang w:eastAsia="pl-PL"/>
        </w:rPr>
        <w:t xml:space="preserve"> mln zł, </w:t>
      </w:r>
      <w:r w:rsidR="007B46EA">
        <w:rPr>
          <w:rFonts w:ascii="Arial" w:hAnsi="Arial" w:cs="Arial"/>
          <w:lang w:eastAsia="pl-PL"/>
        </w:rPr>
        <w:t>głó</w:t>
      </w:r>
      <w:r w:rsidR="00A763C0">
        <w:rPr>
          <w:rFonts w:ascii="Arial" w:hAnsi="Arial" w:cs="Arial"/>
          <w:lang w:eastAsia="pl-PL"/>
        </w:rPr>
        <w:t xml:space="preserve">wnie ze względu na niższe planowane wydatki na </w:t>
      </w:r>
      <w:r w:rsidR="000A2F0D">
        <w:rPr>
          <w:rFonts w:ascii="Arial" w:hAnsi="Arial" w:cs="Arial"/>
          <w:lang w:eastAsia="pl-PL"/>
        </w:rPr>
        <w:t>ten cel</w:t>
      </w:r>
      <w:r w:rsidR="00A763C0">
        <w:rPr>
          <w:rFonts w:ascii="Arial" w:hAnsi="Arial" w:cs="Arial"/>
          <w:lang w:eastAsia="pl-PL"/>
        </w:rPr>
        <w:t>, w związku z przeniesieniem tego zadania od drugiej połowy 2022 r. do realizacji Zakładowi Ubezpieczeń Społecznych. W 2023 r. zmniejszono wydatki bieżące</w:t>
      </w:r>
      <w:r w:rsidR="00E37691">
        <w:rPr>
          <w:rFonts w:ascii="Arial" w:hAnsi="Arial" w:cs="Arial"/>
          <w:lang w:eastAsia="pl-PL"/>
        </w:rPr>
        <w:t xml:space="preserve"> w porównaniu do</w:t>
      </w:r>
      <w:r w:rsidR="000A2F0D">
        <w:rPr>
          <w:rFonts w:ascii="Arial" w:hAnsi="Arial" w:cs="Arial"/>
          <w:lang w:eastAsia="pl-PL"/>
        </w:rPr>
        <w:t xml:space="preserve"> 2022 r.</w:t>
      </w:r>
      <w:r w:rsidR="00A763C0">
        <w:rPr>
          <w:rFonts w:ascii="Arial" w:hAnsi="Arial" w:cs="Arial"/>
          <w:lang w:eastAsia="pl-PL"/>
        </w:rPr>
        <w:t xml:space="preserve"> o</w:t>
      </w:r>
      <w:r w:rsidR="000A2F0D">
        <w:rPr>
          <w:rFonts w:ascii="Arial" w:hAnsi="Arial" w:cs="Arial"/>
          <w:lang w:eastAsia="pl-PL"/>
        </w:rPr>
        <w:t xml:space="preserve"> pozostałą</w:t>
      </w:r>
      <w:r w:rsidR="00A763C0">
        <w:rPr>
          <w:rFonts w:ascii="Arial" w:hAnsi="Arial" w:cs="Arial"/>
          <w:lang w:eastAsia="pl-PL"/>
        </w:rPr>
        <w:t xml:space="preserve"> kwotę świadczeń wychowawczych, t.j. o ponad 25 mln zł</w:t>
      </w:r>
      <w:r w:rsidR="000A2F0D">
        <w:rPr>
          <w:rFonts w:ascii="Arial" w:hAnsi="Arial" w:cs="Arial"/>
          <w:lang w:eastAsia="pl-PL"/>
        </w:rPr>
        <w:t xml:space="preserve"> </w:t>
      </w:r>
      <w:r w:rsidR="00E37691">
        <w:rPr>
          <w:rFonts w:ascii="Arial" w:hAnsi="Arial" w:cs="Arial"/>
          <w:lang w:eastAsia="pl-PL"/>
        </w:rPr>
        <w:t>(</w:t>
      </w:r>
      <w:r w:rsidR="000A2F0D">
        <w:rPr>
          <w:rFonts w:ascii="Arial" w:hAnsi="Arial" w:cs="Arial"/>
          <w:lang w:eastAsia="pl-PL"/>
        </w:rPr>
        <w:t>zaplanowaną w 2022 r. do zrealizowania w I półroczu</w:t>
      </w:r>
      <w:r w:rsidR="00E37691">
        <w:rPr>
          <w:rFonts w:ascii="Arial" w:hAnsi="Arial" w:cs="Arial"/>
          <w:lang w:eastAsia="pl-PL"/>
        </w:rPr>
        <w:t>)</w:t>
      </w:r>
      <w:r w:rsidR="00A763C0">
        <w:rPr>
          <w:rFonts w:ascii="Arial" w:hAnsi="Arial" w:cs="Arial"/>
          <w:lang w:eastAsia="pl-PL"/>
        </w:rPr>
        <w:t>.</w:t>
      </w:r>
      <w:r w:rsidR="007B46EA">
        <w:rPr>
          <w:rFonts w:ascii="Arial" w:hAnsi="Arial" w:cs="Arial"/>
          <w:lang w:eastAsia="pl-PL"/>
        </w:rPr>
        <w:t xml:space="preserve"> Dodatkowo</w:t>
      </w:r>
      <w:r w:rsidRPr="00A96152">
        <w:rPr>
          <w:rFonts w:ascii="Arial" w:hAnsi="Arial" w:cs="Arial"/>
          <w:lang w:eastAsia="pl-PL"/>
        </w:rPr>
        <w:t xml:space="preserve"> w latach 202</w:t>
      </w:r>
      <w:r w:rsidR="007B46EA">
        <w:rPr>
          <w:rFonts w:ascii="Arial" w:hAnsi="Arial" w:cs="Arial"/>
          <w:lang w:eastAsia="pl-PL"/>
        </w:rPr>
        <w:t>3</w:t>
      </w:r>
      <w:r w:rsidRPr="00A96152">
        <w:rPr>
          <w:rFonts w:ascii="Arial" w:hAnsi="Arial" w:cs="Arial"/>
          <w:lang w:eastAsia="pl-PL"/>
        </w:rPr>
        <w:t>-202</w:t>
      </w:r>
      <w:r w:rsidR="00032486" w:rsidRPr="00A96152">
        <w:rPr>
          <w:rFonts w:ascii="Arial" w:hAnsi="Arial" w:cs="Arial"/>
          <w:lang w:eastAsia="pl-PL"/>
        </w:rPr>
        <w:t>6</w:t>
      </w:r>
      <w:r w:rsidR="004A04B9" w:rsidRPr="00A96152">
        <w:rPr>
          <w:rFonts w:ascii="Arial" w:hAnsi="Arial" w:cs="Arial"/>
          <w:lang w:eastAsia="pl-PL"/>
        </w:rPr>
        <w:t xml:space="preserve"> </w:t>
      </w:r>
      <w:r w:rsidRPr="00A96152">
        <w:rPr>
          <w:rFonts w:ascii="Arial" w:hAnsi="Arial" w:cs="Arial"/>
          <w:lang w:eastAsia="pl-PL"/>
        </w:rPr>
        <w:t>założono wzro</w:t>
      </w:r>
      <w:r w:rsidR="000A2F0D">
        <w:rPr>
          <w:rFonts w:ascii="Arial" w:hAnsi="Arial" w:cs="Arial"/>
          <w:lang w:eastAsia="pl-PL"/>
        </w:rPr>
        <w:t xml:space="preserve">st wydatków bieżących </w:t>
      </w:r>
      <w:r w:rsidR="00FA73EE" w:rsidRPr="00A96152">
        <w:rPr>
          <w:rFonts w:ascii="Arial" w:hAnsi="Arial" w:cs="Arial"/>
          <w:lang w:eastAsia="pl-PL"/>
        </w:rPr>
        <w:t>o</w:t>
      </w:r>
      <w:r w:rsidR="00C67BC3">
        <w:rPr>
          <w:rFonts w:ascii="Arial" w:hAnsi="Arial" w:cs="Arial"/>
          <w:lang w:eastAsia="pl-PL"/>
        </w:rPr>
        <w:t>d</w:t>
      </w:r>
      <w:r w:rsidR="00FA73EE" w:rsidRPr="00A96152">
        <w:rPr>
          <w:rFonts w:ascii="Arial" w:hAnsi="Arial" w:cs="Arial"/>
          <w:lang w:eastAsia="pl-PL"/>
        </w:rPr>
        <w:t xml:space="preserve"> </w:t>
      </w:r>
      <w:r w:rsidR="00017FA3" w:rsidRPr="00A96152">
        <w:rPr>
          <w:rFonts w:ascii="Arial" w:hAnsi="Arial" w:cs="Arial"/>
          <w:lang w:eastAsia="pl-PL"/>
        </w:rPr>
        <w:t>1%</w:t>
      </w:r>
      <w:r w:rsidR="00C67BC3">
        <w:rPr>
          <w:rFonts w:ascii="Arial" w:hAnsi="Arial" w:cs="Arial"/>
          <w:lang w:eastAsia="pl-PL"/>
        </w:rPr>
        <w:t xml:space="preserve"> do 2%</w:t>
      </w:r>
      <w:r w:rsidRPr="00A96152">
        <w:rPr>
          <w:rFonts w:ascii="Arial" w:hAnsi="Arial" w:cs="Arial"/>
          <w:lang w:eastAsia="pl-PL"/>
        </w:rPr>
        <w:t xml:space="preserve">. </w:t>
      </w:r>
      <w:r w:rsidR="00C67BC3">
        <w:rPr>
          <w:rFonts w:ascii="Arial" w:hAnsi="Arial" w:cs="Arial"/>
          <w:lang w:eastAsia="pl-PL"/>
        </w:rPr>
        <w:br/>
      </w:r>
      <w:r w:rsidR="007B46EA">
        <w:rPr>
          <w:rFonts w:ascii="Arial" w:hAnsi="Arial" w:cs="Arial"/>
          <w:lang w:eastAsia="pl-PL"/>
        </w:rPr>
        <w:t xml:space="preserve">W ramach wydatków bieżących zaplanowano wydatki na wynagrodzenia i składki od nich naliczane </w:t>
      </w:r>
      <w:r w:rsidR="00E37691" w:rsidRPr="00524024">
        <w:rPr>
          <w:rFonts w:ascii="Arial" w:hAnsi="Arial" w:cs="Arial"/>
          <w:lang w:eastAsia="pl-PL"/>
        </w:rPr>
        <w:t xml:space="preserve">Szczegółowy </w:t>
      </w:r>
      <w:r w:rsidR="00E37691">
        <w:rPr>
          <w:rFonts w:ascii="Arial" w:hAnsi="Arial" w:cs="Arial"/>
          <w:lang w:eastAsia="pl-PL"/>
        </w:rPr>
        <w:t xml:space="preserve">opis został zawarty w projekcie </w:t>
      </w:r>
      <w:r w:rsidR="00E37691" w:rsidRPr="00A96152">
        <w:rPr>
          <w:rFonts w:ascii="Arial" w:hAnsi="Arial" w:cs="Arial"/>
          <w:lang w:eastAsia="pl-PL"/>
        </w:rPr>
        <w:t xml:space="preserve">budżetu na 2022 r. </w:t>
      </w:r>
      <w:r w:rsidR="00E37691">
        <w:rPr>
          <w:rFonts w:ascii="Arial" w:hAnsi="Arial" w:cs="Arial"/>
          <w:lang w:eastAsia="pl-PL"/>
        </w:rPr>
        <w:t>W</w:t>
      </w:r>
      <w:r w:rsidR="007B46EA">
        <w:rPr>
          <w:rFonts w:ascii="Arial" w:hAnsi="Arial" w:cs="Arial"/>
          <w:lang w:eastAsia="pl-PL"/>
        </w:rPr>
        <w:t xml:space="preserve"> kolejnych latach</w:t>
      </w:r>
      <w:r w:rsidR="00E37691">
        <w:rPr>
          <w:rFonts w:ascii="Arial" w:hAnsi="Arial" w:cs="Arial"/>
          <w:lang w:eastAsia="pl-PL"/>
        </w:rPr>
        <w:t xml:space="preserve"> wydatki te </w:t>
      </w:r>
      <w:r w:rsidR="007B46EA">
        <w:rPr>
          <w:rFonts w:ascii="Arial" w:hAnsi="Arial" w:cs="Arial"/>
          <w:lang w:eastAsia="pl-PL"/>
        </w:rPr>
        <w:t xml:space="preserve"> </w:t>
      </w:r>
      <w:r w:rsidR="00C54EA8">
        <w:rPr>
          <w:rFonts w:ascii="Arial" w:hAnsi="Arial" w:cs="Arial"/>
          <w:lang w:eastAsia="pl-PL"/>
        </w:rPr>
        <w:t>planuje się</w:t>
      </w:r>
      <w:r w:rsidR="007B46EA">
        <w:rPr>
          <w:rFonts w:ascii="Arial" w:hAnsi="Arial" w:cs="Arial"/>
          <w:lang w:eastAsia="pl-PL"/>
        </w:rPr>
        <w:t xml:space="preserve"> o 1% </w:t>
      </w:r>
      <w:r w:rsidR="00C54EA8">
        <w:rPr>
          <w:rFonts w:ascii="Arial" w:hAnsi="Arial" w:cs="Arial"/>
          <w:lang w:eastAsia="pl-PL"/>
        </w:rPr>
        <w:t>wyższe</w:t>
      </w:r>
      <w:r w:rsidR="0042393F">
        <w:rPr>
          <w:rFonts w:ascii="Arial" w:hAnsi="Arial" w:cs="Arial"/>
          <w:lang w:eastAsia="pl-PL"/>
        </w:rPr>
        <w:t xml:space="preserve"> </w:t>
      </w:r>
      <w:r w:rsidR="007B46EA">
        <w:rPr>
          <w:rFonts w:ascii="Arial" w:hAnsi="Arial" w:cs="Arial"/>
          <w:lang w:eastAsia="pl-PL"/>
        </w:rPr>
        <w:t xml:space="preserve">w porównaniu do roku poprzedniego. </w:t>
      </w:r>
      <w:r w:rsidRPr="00A96152">
        <w:rPr>
          <w:rFonts w:ascii="Arial" w:hAnsi="Arial" w:cs="Arial"/>
          <w:lang w:eastAsia="pl-PL"/>
        </w:rPr>
        <w:t>W latach 202</w:t>
      </w:r>
      <w:r w:rsidR="00017FA3" w:rsidRPr="00A96152">
        <w:rPr>
          <w:rFonts w:ascii="Arial" w:hAnsi="Arial" w:cs="Arial"/>
          <w:lang w:eastAsia="pl-PL"/>
        </w:rPr>
        <w:t>7</w:t>
      </w:r>
      <w:r w:rsidRPr="00A96152">
        <w:rPr>
          <w:rFonts w:ascii="Arial" w:hAnsi="Arial" w:cs="Arial"/>
          <w:lang w:eastAsia="pl-PL"/>
        </w:rPr>
        <w:t>-203</w:t>
      </w:r>
      <w:r w:rsidR="00017FA3" w:rsidRPr="00A96152">
        <w:rPr>
          <w:rFonts w:ascii="Arial" w:hAnsi="Arial" w:cs="Arial"/>
          <w:lang w:eastAsia="pl-PL"/>
        </w:rPr>
        <w:t>7</w:t>
      </w:r>
      <w:r w:rsidRPr="00A96152">
        <w:rPr>
          <w:rFonts w:ascii="Arial" w:hAnsi="Arial" w:cs="Arial"/>
          <w:lang w:eastAsia="pl-PL"/>
        </w:rPr>
        <w:t xml:space="preserve"> została zaplanowana stabilizacja wydatków </w:t>
      </w:r>
      <w:r w:rsidR="00C67BC3">
        <w:rPr>
          <w:rFonts w:ascii="Arial" w:hAnsi="Arial" w:cs="Arial"/>
          <w:lang w:eastAsia="pl-PL"/>
        </w:rPr>
        <w:t>bieżących</w:t>
      </w:r>
      <w:r w:rsidRPr="00A96152">
        <w:rPr>
          <w:rFonts w:ascii="Arial" w:hAnsi="Arial" w:cs="Arial"/>
          <w:lang w:eastAsia="pl-PL"/>
        </w:rPr>
        <w:t xml:space="preserve"> na poziomie </w:t>
      </w:r>
      <w:r w:rsidR="00BC6010" w:rsidRPr="00A96152">
        <w:rPr>
          <w:rFonts w:ascii="Arial" w:hAnsi="Arial" w:cs="Arial"/>
          <w:lang w:eastAsia="pl-PL"/>
        </w:rPr>
        <w:t xml:space="preserve">z </w:t>
      </w:r>
      <w:r w:rsidRPr="00A96152">
        <w:rPr>
          <w:rFonts w:ascii="Arial" w:hAnsi="Arial" w:cs="Arial"/>
          <w:lang w:eastAsia="pl-PL"/>
        </w:rPr>
        <w:t>202</w:t>
      </w:r>
      <w:r w:rsidR="00017FA3" w:rsidRPr="00A96152">
        <w:rPr>
          <w:rFonts w:ascii="Arial" w:hAnsi="Arial" w:cs="Arial"/>
          <w:lang w:eastAsia="pl-PL"/>
        </w:rPr>
        <w:t>7</w:t>
      </w:r>
      <w:r w:rsidRPr="00A96152">
        <w:rPr>
          <w:rFonts w:ascii="Arial" w:hAnsi="Arial" w:cs="Arial"/>
          <w:lang w:eastAsia="pl-PL"/>
        </w:rPr>
        <w:t xml:space="preserve"> r. </w:t>
      </w:r>
      <w:r w:rsidRPr="00032486">
        <w:rPr>
          <w:rFonts w:ascii="Arial" w:hAnsi="Arial" w:cs="Arial"/>
          <w:lang w:eastAsia="pl-PL"/>
        </w:rPr>
        <w:t xml:space="preserve">Wynika to </w:t>
      </w:r>
      <w:r w:rsidR="00C67BC3">
        <w:rPr>
          <w:rFonts w:ascii="Arial" w:hAnsi="Arial" w:cs="Arial"/>
          <w:lang w:eastAsia="pl-PL"/>
        </w:rPr>
        <w:br/>
      </w:r>
      <w:r w:rsidRPr="00032486">
        <w:rPr>
          <w:rFonts w:ascii="Arial" w:hAnsi="Arial" w:cs="Arial"/>
          <w:lang w:eastAsia="pl-PL"/>
        </w:rPr>
        <w:t>z prognozy możliwości finansowych, planowanych działań zmierzających do ograniczenia wzrostu wydatków bieżących oraz z dużego stopnia trudności w planowaniu budżetów w kolejnych latach.</w:t>
      </w:r>
      <w:r w:rsidR="0042393F">
        <w:rPr>
          <w:rFonts w:ascii="Arial" w:hAnsi="Arial" w:cs="Arial"/>
          <w:lang w:eastAsia="pl-PL"/>
        </w:rPr>
        <w:t xml:space="preserve"> Planowane są do wdrożenia działania racjonalizujące wydatki budżetowe, które są szczegółowo </w:t>
      </w:r>
      <w:r w:rsidR="0087180B">
        <w:rPr>
          <w:rFonts w:ascii="Arial" w:hAnsi="Arial" w:cs="Arial"/>
          <w:lang w:eastAsia="pl-PL"/>
        </w:rPr>
        <w:t xml:space="preserve">są </w:t>
      </w:r>
      <w:r w:rsidR="0042393F">
        <w:rPr>
          <w:rFonts w:ascii="Arial" w:hAnsi="Arial" w:cs="Arial"/>
          <w:lang w:eastAsia="pl-PL"/>
        </w:rPr>
        <w:t>opisane w uzasadnieniu do budżetu na 2022 r.</w:t>
      </w:r>
    </w:p>
    <w:p w:rsidR="00C31C11" w:rsidRDefault="00C31C11" w:rsidP="001E6A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hAnsi="Arial" w:cs="Arial"/>
        </w:rPr>
      </w:pPr>
    </w:p>
    <w:p w:rsidR="009A3648" w:rsidRDefault="00524024" w:rsidP="00C31C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hAnsi="Arial" w:cs="Arial"/>
          <w:lang w:eastAsia="pl-PL"/>
        </w:rPr>
      </w:pPr>
      <w:r w:rsidRPr="000A2CC6">
        <w:rPr>
          <w:rFonts w:ascii="Arial" w:hAnsi="Arial" w:cs="Arial"/>
          <w:lang w:eastAsia="pl-PL"/>
        </w:rPr>
        <w:lastRenderedPageBreak/>
        <w:t>Wydatki na obsługę długu w 202</w:t>
      </w:r>
      <w:r w:rsidR="00032486">
        <w:rPr>
          <w:rFonts w:ascii="Arial" w:hAnsi="Arial" w:cs="Arial"/>
          <w:lang w:eastAsia="pl-PL"/>
        </w:rPr>
        <w:t>2</w:t>
      </w:r>
      <w:r w:rsidRPr="000A2CC6">
        <w:rPr>
          <w:rFonts w:ascii="Arial" w:hAnsi="Arial" w:cs="Arial"/>
          <w:lang w:eastAsia="pl-PL"/>
        </w:rPr>
        <w:t xml:space="preserve"> r. skalkulowano uwzględniając marżę uzyskaną dla poszczególnych </w:t>
      </w:r>
      <w:r w:rsidRPr="009D3AE0">
        <w:rPr>
          <w:rFonts w:ascii="Arial" w:hAnsi="Arial" w:cs="Arial"/>
          <w:lang w:eastAsia="pl-PL"/>
        </w:rPr>
        <w:t xml:space="preserve">kredytów oraz WIBOR na poziomie </w:t>
      </w:r>
      <w:r w:rsidR="000972AA" w:rsidRPr="009D3AE0">
        <w:rPr>
          <w:rFonts w:ascii="Arial" w:hAnsi="Arial" w:cs="Arial"/>
          <w:lang w:eastAsia="pl-PL"/>
        </w:rPr>
        <w:t xml:space="preserve">2 </w:t>
      </w:r>
      <w:r w:rsidRPr="009D3AE0">
        <w:rPr>
          <w:rFonts w:ascii="Arial" w:hAnsi="Arial" w:cs="Arial"/>
          <w:lang w:eastAsia="pl-PL"/>
        </w:rPr>
        <w:t>%</w:t>
      </w:r>
      <w:r w:rsidR="00E70799" w:rsidRPr="009D3AE0">
        <w:rPr>
          <w:rFonts w:ascii="Arial" w:hAnsi="Arial" w:cs="Arial"/>
          <w:lang w:eastAsia="pl-PL"/>
        </w:rPr>
        <w:t xml:space="preserve"> (</w:t>
      </w:r>
      <w:r w:rsidR="002956A9" w:rsidRPr="009D3AE0">
        <w:rPr>
          <w:rFonts w:ascii="Arial" w:hAnsi="Arial" w:cs="Arial"/>
          <w:lang w:eastAsia="pl-PL"/>
        </w:rPr>
        <w:t>aktualny</w:t>
      </w:r>
      <w:r w:rsidR="009D3AE0" w:rsidRPr="009D3AE0">
        <w:rPr>
          <w:rFonts w:ascii="Arial" w:hAnsi="Arial" w:cs="Arial"/>
          <w:lang w:eastAsia="pl-PL"/>
        </w:rPr>
        <w:t xml:space="preserve"> </w:t>
      </w:r>
      <w:r w:rsidR="002956A9" w:rsidRPr="009D3AE0">
        <w:rPr>
          <w:rFonts w:ascii="Arial" w:hAnsi="Arial" w:cs="Arial"/>
          <w:lang w:eastAsia="pl-PL"/>
        </w:rPr>
        <w:t xml:space="preserve">WIBOR 3M wynosi </w:t>
      </w:r>
      <w:r w:rsidR="009D3AE0" w:rsidRPr="009D3AE0">
        <w:rPr>
          <w:rFonts w:ascii="Arial" w:hAnsi="Arial" w:cs="Arial"/>
          <w:lang w:eastAsia="pl-PL"/>
        </w:rPr>
        <w:t>1,</w:t>
      </w:r>
      <w:r w:rsidR="00B73C54">
        <w:rPr>
          <w:rFonts w:ascii="Arial" w:hAnsi="Arial" w:cs="Arial"/>
          <w:lang w:eastAsia="pl-PL"/>
        </w:rPr>
        <w:t>61</w:t>
      </w:r>
      <w:r w:rsidR="009D3AE0" w:rsidRPr="009D3AE0">
        <w:rPr>
          <w:rFonts w:ascii="Arial" w:hAnsi="Arial" w:cs="Arial"/>
          <w:lang w:eastAsia="pl-PL"/>
        </w:rPr>
        <w:t>%)</w:t>
      </w:r>
      <w:r w:rsidRPr="009D3AE0">
        <w:rPr>
          <w:rFonts w:ascii="Arial" w:hAnsi="Arial" w:cs="Arial"/>
          <w:lang w:eastAsia="pl-PL"/>
        </w:rPr>
        <w:t>. Wydatki z</w:t>
      </w:r>
      <w:r w:rsidRPr="000A2CC6">
        <w:rPr>
          <w:rFonts w:ascii="Arial" w:hAnsi="Arial" w:cs="Arial"/>
          <w:lang w:eastAsia="pl-PL"/>
        </w:rPr>
        <w:t>ostały przeliczone w oparciu o harmonogramy spłaty zadłużenia.</w:t>
      </w:r>
    </w:p>
    <w:p w:rsidR="00C31C11" w:rsidRPr="001E6A50" w:rsidRDefault="00C31C11"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rPr>
      </w:pP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b/>
          <w:bCs/>
          <w:lang w:eastAsia="pl-PL"/>
        </w:rPr>
      </w:pPr>
      <w:r w:rsidRPr="00524024">
        <w:rPr>
          <w:rFonts w:ascii="Arial" w:hAnsi="Arial" w:cs="Arial"/>
          <w:b/>
          <w:bCs/>
          <w:lang w:eastAsia="pl-PL"/>
        </w:rPr>
        <w:t xml:space="preserve">4. Wydatki majątkowe </w:t>
      </w:r>
    </w:p>
    <w:p w:rsidR="00524024" w:rsidRDefault="00524024" w:rsidP="00C31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both"/>
        <w:rPr>
          <w:rFonts w:ascii="Arial" w:hAnsi="Arial" w:cs="Arial"/>
          <w:lang w:eastAsia="pl-PL"/>
        </w:rPr>
      </w:pPr>
      <w:r w:rsidRPr="00524024">
        <w:rPr>
          <w:rFonts w:ascii="Arial" w:hAnsi="Arial" w:cs="Arial"/>
          <w:lang w:eastAsia="pl-PL"/>
        </w:rPr>
        <w:t>Zaplanowana na 202</w:t>
      </w:r>
      <w:r w:rsidR="00032486">
        <w:rPr>
          <w:rFonts w:ascii="Arial" w:hAnsi="Arial" w:cs="Arial"/>
          <w:lang w:eastAsia="pl-PL"/>
        </w:rPr>
        <w:t>2</w:t>
      </w:r>
      <w:r w:rsidR="00BC6010">
        <w:rPr>
          <w:rFonts w:ascii="Arial" w:hAnsi="Arial" w:cs="Arial"/>
          <w:lang w:eastAsia="pl-PL"/>
        </w:rPr>
        <w:t xml:space="preserve"> r. kwota wydatków majątkowych obejmuje </w:t>
      </w:r>
      <w:r w:rsidR="005C7966" w:rsidRPr="00524024">
        <w:rPr>
          <w:rFonts w:ascii="Arial" w:hAnsi="Arial" w:cs="Arial"/>
          <w:lang w:eastAsia="pl-PL"/>
        </w:rPr>
        <w:t>wieloletnie przedsięwzięcia</w:t>
      </w:r>
      <w:r w:rsidRPr="00524024">
        <w:rPr>
          <w:rFonts w:ascii="Arial" w:hAnsi="Arial" w:cs="Arial"/>
          <w:lang w:eastAsia="pl-PL"/>
        </w:rPr>
        <w:t xml:space="preserve"> inwestycyjne, które ujęto w załączniku nr 2 tj. w Wykazie przedsięwzięć do Wieloletniej Prognozy Finansowej Miasta Łomża, realizację projektów współfinansowanych ze środków UE (szczegóły w zał. Nr 4 do projektu uchwały budżetowej na 202</w:t>
      </w:r>
      <w:r w:rsidR="00032486">
        <w:rPr>
          <w:rFonts w:ascii="Arial" w:hAnsi="Arial" w:cs="Arial"/>
          <w:lang w:eastAsia="pl-PL"/>
        </w:rPr>
        <w:t>2</w:t>
      </w:r>
      <w:r w:rsidR="00DE33D5">
        <w:rPr>
          <w:rFonts w:ascii="Arial" w:hAnsi="Arial" w:cs="Arial"/>
          <w:lang w:eastAsia="pl-PL"/>
        </w:rPr>
        <w:t xml:space="preserve">r.) oraz </w:t>
      </w:r>
      <w:r w:rsidR="00440356">
        <w:rPr>
          <w:rFonts w:ascii="Arial" w:hAnsi="Arial" w:cs="Arial"/>
          <w:lang w:eastAsia="pl-PL"/>
        </w:rPr>
        <w:t>wykaz zadań inwestycyjnych do realizacji w 2022 r.</w:t>
      </w:r>
      <w:r w:rsidR="00DE33D5">
        <w:rPr>
          <w:rFonts w:ascii="Arial" w:hAnsi="Arial" w:cs="Arial"/>
          <w:lang w:eastAsia="pl-PL"/>
        </w:rPr>
        <w:t xml:space="preserve"> (szczegóły </w:t>
      </w:r>
      <w:r w:rsidRPr="00524024">
        <w:rPr>
          <w:rFonts w:ascii="Arial" w:hAnsi="Arial" w:cs="Arial"/>
          <w:lang w:eastAsia="pl-PL"/>
        </w:rPr>
        <w:t xml:space="preserve">w zał. Nr 3 do </w:t>
      </w:r>
      <w:r w:rsidRPr="00BF0E69">
        <w:rPr>
          <w:rFonts w:ascii="Arial" w:hAnsi="Arial" w:cs="Arial"/>
          <w:lang w:eastAsia="pl-PL"/>
        </w:rPr>
        <w:t>projektu uchwały budżetowej na 202</w:t>
      </w:r>
      <w:r w:rsidR="00032486" w:rsidRPr="00BF0E69">
        <w:rPr>
          <w:rFonts w:ascii="Arial" w:hAnsi="Arial" w:cs="Arial"/>
          <w:lang w:eastAsia="pl-PL"/>
        </w:rPr>
        <w:t>2</w:t>
      </w:r>
      <w:r w:rsidRPr="00BF0E69">
        <w:rPr>
          <w:rFonts w:ascii="Arial" w:hAnsi="Arial" w:cs="Arial"/>
          <w:lang w:eastAsia="pl-PL"/>
        </w:rPr>
        <w:t xml:space="preserve">r.). </w:t>
      </w:r>
      <w:r w:rsidR="00DE33D5">
        <w:rPr>
          <w:rFonts w:ascii="Arial" w:hAnsi="Arial" w:cs="Arial"/>
          <w:lang w:eastAsia="pl-PL"/>
        </w:rPr>
        <w:t xml:space="preserve">Prognozowane wydatki majątkowe </w:t>
      </w:r>
      <w:r w:rsidRPr="00BF0E69">
        <w:rPr>
          <w:rFonts w:ascii="Arial" w:hAnsi="Arial" w:cs="Arial"/>
          <w:lang w:eastAsia="pl-PL"/>
        </w:rPr>
        <w:t>w 202</w:t>
      </w:r>
      <w:r w:rsidR="00032486" w:rsidRPr="00BF0E69">
        <w:rPr>
          <w:rFonts w:ascii="Arial" w:hAnsi="Arial" w:cs="Arial"/>
          <w:lang w:eastAsia="pl-PL"/>
        </w:rPr>
        <w:t>2</w:t>
      </w:r>
      <w:r w:rsidRPr="00BF0E69">
        <w:rPr>
          <w:rFonts w:ascii="Arial" w:hAnsi="Arial" w:cs="Arial"/>
          <w:lang w:eastAsia="pl-PL"/>
        </w:rPr>
        <w:t xml:space="preserve"> r. wynoszą </w:t>
      </w:r>
      <w:r w:rsidR="009A3648">
        <w:rPr>
          <w:rFonts w:ascii="Arial" w:hAnsi="Arial" w:cs="Arial"/>
          <w:lang w:eastAsia="pl-PL"/>
        </w:rPr>
        <w:t>94.862.550</w:t>
      </w:r>
      <w:r w:rsidRPr="00BF0E69">
        <w:rPr>
          <w:rFonts w:ascii="Arial" w:hAnsi="Arial" w:cs="Arial"/>
          <w:lang w:eastAsia="pl-PL"/>
        </w:rPr>
        <w:t xml:space="preserve"> zł. </w:t>
      </w:r>
      <w:r w:rsidR="00FA554A">
        <w:rPr>
          <w:rFonts w:ascii="Arial" w:hAnsi="Arial" w:cs="Arial"/>
          <w:lang w:eastAsia="pl-PL"/>
        </w:rPr>
        <w:t xml:space="preserve">W latach 2023-2025 wydatki zostały wykazane w wysokości wydatków majątkowych z załącznika nr 2 Wykaz przedsięwzięć i </w:t>
      </w:r>
      <w:r w:rsidR="002C482E">
        <w:rPr>
          <w:rFonts w:ascii="Arial" w:hAnsi="Arial" w:cs="Arial"/>
          <w:lang w:eastAsia="pl-PL"/>
        </w:rPr>
        <w:t>będą</w:t>
      </w:r>
      <w:r w:rsidR="00FA554A">
        <w:rPr>
          <w:rFonts w:ascii="Arial" w:hAnsi="Arial" w:cs="Arial"/>
          <w:lang w:eastAsia="pl-PL"/>
        </w:rPr>
        <w:t xml:space="preserve"> one realizowane ze środków własnych oraz z zewnętrznych źródeł finansowania</w:t>
      </w:r>
      <w:r w:rsidR="00A0715E">
        <w:rPr>
          <w:rFonts w:ascii="Arial" w:hAnsi="Arial" w:cs="Arial"/>
          <w:lang w:eastAsia="pl-PL"/>
        </w:rPr>
        <w:t xml:space="preserve"> możliwych do pozyskania</w:t>
      </w:r>
      <w:r w:rsidR="00FA554A">
        <w:rPr>
          <w:rFonts w:ascii="Arial" w:hAnsi="Arial" w:cs="Arial"/>
          <w:lang w:eastAsia="pl-PL"/>
        </w:rPr>
        <w:t xml:space="preserve">. </w:t>
      </w:r>
      <w:r w:rsidRPr="00BF0E69">
        <w:rPr>
          <w:rFonts w:ascii="Arial" w:hAnsi="Arial" w:cs="Arial"/>
          <w:lang w:eastAsia="pl-PL"/>
        </w:rPr>
        <w:t>Od 202</w:t>
      </w:r>
      <w:r w:rsidR="009A3648">
        <w:rPr>
          <w:rFonts w:ascii="Arial" w:hAnsi="Arial" w:cs="Arial"/>
          <w:lang w:eastAsia="pl-PL"/>
        </w:rPr>
        <w:t>6</w:t>
      </w:r>
      <w:r w:rsidRPr="007A60E9">
        <w:rPr>
          <w:rFonts w:ascii="Arial" w:hAnsi="Arial" w:cs="Arial"/>
          <w:lang w:eastAsia="pl-PL"/>
        </w:rPr>
        <w:t xml:space="preserve"> r. wydatki majątkowe zostały zaplanowane jedynie w </w:t>
      </w:r>
      <w:r w:rsidR="002C482E">
        <w:rPr>
          <w:rFonts w:ascii="Arial" w:hAnsi="Arial" w:cs="Arial"/>
          <w:lang w:eastAsia="pl-PL"/>
        </w:rPr>
        <w:t xml:space="preserve">oparciu o środki własne. Na dzień dzisiejszy nie mamy </w:t>
      </w:r>
      <w:r w:rsidR="00440356">
        <w:rPr>
          <w:rFonts w:ascii="Arial" w:hAnsi="Arial" w:cs="Arial"/>
          <w:lang w:eastAsia="pl-PL"/>
        </w:rPr>
        <w:t xml:space="preserve">sprecyzowanych konkretnych zadań ani też </w:t>
      </w:r>
      <w:r w:rsidR="002C482E">
        <w:rPr>
          <w:rFonts w:ascii="Arial" w:hAnsi="Arial" w:cs="Arial"/>
          <w:lang w:eastAsia="pl-PL"/>
        </w:rPr>
        <w:t xml:space="preserve">złożonych wniosków na </w:t>
      </w:r>
      <w:r w:rsidR="00440356">
        <w:rPr>
          <w:rFonts w:ascii="Arial" w:hAnsi="Arial" w:cs="Arial"/>
          <w:lang w:eastAsia="pl-PL"/>
        </w:rPr>
        <w:t>do</w:t>
      </w:r>
      <w:r w:rsidR="002C482E">
        <w:rPr>
          <w:rFonts w:ascii="Arial" w:hAnsi="Arial" w:cs="Arial"/>
          <w:lang w:eastAsia="pl-PL"/>
        </w:rPr>
        <w:t>finansowanie zadań na tak odległy czas</w:t>
      </w:r>
      <w:r w:rsidRPr="007A60E9">
        <w:rPr>
          <w:rFonts w:ascii="Arial" w:hAnsi="Arial" w:cs="Arial"/>
          <w:lang w:eastAsia="pl-PL"/>
        </w:rPr>
        <w:t>.</w:t>
      </w:r>
    </w:p>
    <w:p w:rsidR="00C31C11" w:rsidRPr="00524024" w:rsidRDefault="00C31C11" w:rsidP="005240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76" w:lineRule="auto"/>
        <w:jc w:val="both"/>
        <w:rPr>
          <w:rFonts w:ascii="Arial" w:hAnsi="Arial" w:cs="Arial"/>
          <w:lang w:eastAsia="pl-PL"/>
        </w:rPr>
      </w:pPr>
    </w:p>
    <w:p w:rsidR="00524024" w:rsidRPr="00524024" w:rsidRDefault="00524024" w:rsidP="00524024">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76" w:lineRule="auto"/>
        <w:jc w:val="both"/>
        <w:rPr>
          <w:rFonts w:ascii="Arial" w:hAnsi="Arial" w:cs="Arial"/>
          <w:b/>
          <w:bCs/>
          <w:lang w:eastAsia="pl-PL"/>
        </w:rPr>
      </w:pPr>
      <w:r w:rsidRPr="00524024">
        <w:rPr>
          <w:rFonts w:ascii="Arial" w:hAnsi="Arial" w:cs="Arial"/>
          <w:b/>
          <w:bCs/>
          <w:lang w:eastAsia="pl-PL"/>
        </w:rPr>
        <w:t xml:space="preserve"> 5. Przychody, rozchody oraz kwota długu</w:t>
      </w:r>
    </w:p>
    <w:p w:rsidR="00524024" w:rsidRPr="00DE33D5" w:rsidRDefault="00524024" w:rsidP="00D7101D">
      <w:pPr>
        <w:ind w:right="110"/>
        <w:jc w:val="both"/>
        <w:rPr>
          <w:rFonts w:ascii="Arial" w:hAnsi="Arial" w:cs="Arial"/>
          <w:lang w:eastAsia="pl-PL"/>
        </w:rPr>
      </w:pPr>
      <w:r w:rsidRPr="00B0377C">
        <w:rPr>
          <w:rFonts w:ascii="Arial" w:hAnsi="Arial" w:cs="Arial"/>
          <w:lang w:eastAsia="pl-PL"/>
        </w:rPr>
        <w:t>W celu realizacji przyjętego programu wydatków majątkowych oraz pokrycia deficytu budżetu założono pozyskanie zewnętrznych źródeł finansowania w 202</w:t>
      </w:r>
      <w:r w:rsidR="00032486" w:rsidRPr="00B0377C">
        <w:rPr>
          <w:rFonts w:ascii="Arial" w:hAnsi="Arial" w:cs="Arial"/>
          <w:lang w:eastAsia="pl-PL"/>
        </w:rPr>
        <w:t>2</w:t>
      </w:r>
      <w:r w:rsidRPr="00B0377C">
        <w:rPr>
          <w:rFonts w:ascii="Arial" w:hAnsi="Arial" w:cs="Arial"/>
          <w:lang w:eastAsia="pl-PL"/>
        </w:rPr>
        <w:t xml:space="preserve"> r</w:t>
      </w:r>
      <w:r w:rsidR="00032486" w:rsidRPr="00B0377C">
        <w:rPr>
          <w:rFonts w:ascii="Arial" w:hAnsi="Arial" w:cs="Arial"/>
          <w:lang w:eastAsia="pl-PL"/>
        </w:rPr>
        <w:t xml:space="preserve">. w formie kredytu </w:t>
      </w:r>
      <w:r w:rsidR="00105789">
        <w:rPr>
          <w:rFonts w:ascii="Arial" w:hAnsi="Arial" w:cs="Arial"/>
          <w:lang w:eastAsia="pl-PL"/>
        </w:rPr>
        <w:t>w </w:t>
      </w:r>
      <w:r w:rsidR="00032486" w:rsidRPr="00B0377C">
        <w:rPr>
          <w:rFonts w:ascii="Arial" w:hAnsi="Arial" w:cs="Arial"/>
          <w:lang w:eastAsia="pl-PL"/>
        </w:rPr>
        <w:t>wysokości 3</w:t>
      </w:r>
      <w:r w:rsidR="00BD7EDA" w:rsidRPr="00B0377C">
        <w:rPr>
          <w:rFonts w:ascii="Arial" w:hAnsi="Arial" w:cs="Arial"/>
          <w:lang w:eastAsia="pl-PL"/>
        </w:rPr>
        <w:t>5.000.000 zł i w 2023 r. w kwocie 14.000.000 zł.</w:t>
      </w:r>
      <w:r w:rsidR="00032486" w:rsidRPr="00B0377C">
        <w:rPr>
          <w:rFonts w:ascii="Arial" w:hAnsi="Arial" w:cs="Arial"/>
          <w:lang w:eastAsia="pl-PL"/>
        </w:rPr>
        <w:t xml:space="preserve"> </w:t>
      </w:r>
      <w:r w:rsidRPr="00B0377C">
        <w:rPr>
          <w:rFonts w:ascii="Arial" w:hAnsi="Arial" w:cs="Arial"/>
          <w:lang w:eastAsia="pl-PL"/>
        </w:rPr>
        <w:t>Planowana wielkość przychodów z tytułu kredytów w latach 202</w:t>
      </w:r>
      <w:r w:rsidR="00032486" w:rsidRPr="00B0377C">
        <w:rPr>
          <w:rFonts w:ascii="Arial" w:hAnsi="Arial" w:cs="Arial"/>
          <w:lang w:eastAsia="pl-PL"/>
        </w:rPr>
        <w:t>2</w:t>
      </w:r>
      <w:r w:rsidR="008C0632">
        <w:rPr>
          <w:rFonts w:ascii="Arial" w:hAnsi="Arial" w:cs="Arial"/>
          <w:lang w:eastAsia="pl-PL"/>
        </w:rPr>
        <w:t xml:space="preserve"> - 2023</w:t>
      </w:r>
      <w:r w:rsidRPr="00B0377C">
        <w:rPr>
          <w:rFonts w:ascii="Arial" w:hAnsi="Arial" w:cs="Arial"/>
          <w:lang w:eastAsia="pl-PL"/>
        </w:rPr>
        <w:t xml:space="preserve"> wynika z konieczności zabezpieczenia finansowego planowanych przedsięwzięć, jednakże zostały złożone wni</w:t>
      </w:r>
      <w:r w:rsidR="00105789">
        <w:rPr>
          <w:rFonts w:ascii="Arial" w:hAnsi="Arial" w:cs="Arial"/>
          <w:lang w:eastAsia="pl-PL"/>
        </w:rPr>
        <w:t>oski o </w:t>
      </w:r>
      <w:bookmarkStart w:id="0" w:name="_GoBack"/>
      <w:bookmarkEnd w:id="0"/>
      <w:r w:rsidR="003D018A">
        <w:rPr>
          <w:rFonts w:ascii="Arial" w:hAnsi="Arial" w:cs="Arial"/>
          <w:lang w:eastAsia="pl-PL"/>
        </w:rPr>
        <w:t>dofinansowanie, które są w </w:t>
      </w:r>
      <w:r w:rsidRPr="00B0377C">
        <w:rPr>
          <w:rFonts w:ascii="Arial" w:hAnsi="Arial" w:cs="Arial"/>
          <w:lang w:eastAsia="pl-PL"/>
        </w:rPr>
        <w:t>trakcie oceny oraz planowane jest złożenie kolejnych w I kw. 202</w:t>
      </w:r>
      <w:r w:rsidR="00032486" w:rsidRPr="00B0377C">
        <w:rPr>
          <w:rFonts w:ascii="Arial" w:hAnsi="Arial" w:cs="Arial"/>
          <w:lang w:eastAsia="pl-PL"/>
        </w:rPr>
        <w:t>2</w:t>
      </w:r>
      <w:r w:rsidRPr="00B0377C">
        <w:rPr>
          <w:rFonts w:ascii="Arial" w:hAnsi="Arial" w:cs="Arial"/>
          <w:lang w:eastAsia="pl-PL"/>
        </w:rPr>
        <w:t xml:space="preserve"> r. i w przypadku pozyskania wspomnianego dofinansowania</w:t>
      </w:r>
      <w:r w:rsidR="0011015A" w:rsidRPr="00B0377C">
        <w:rPr>
          <w:rFonts w:ascii="Arial" w:hAnsi="Arial" w:cs="Arial"/>
          <w:lang w:eastAsia="pl-PL"/>
        </w:rPr>
        <w:t xml:space="preserve"> być może</w:t>
      </w:r>
      <w:r w:rsidRPr="00B0377C">
        <w:rPr>
          <w:rFonts w:ascii="Arial" w:hAnsi="Arial" w:cs="Arial"/>
          <w:lang w:eastAsia="pl-PL"/>
        </w:rPr>
        <w:t xml:space="preserve"> nie będzie zachodziła </w:t>
      </w:r>
      <w:r w:rsidR="00284A17" w:rsidRPr="00B0377C">
        <w:rPr>
          <w:rFonts w:ascii="Arial" w:hAnsi="Arial" w:cs="Arial"/>
          <w:lang w:eastAsia="pl-PL"/>
        </w:rPr>
        <w:t>konieczność zaciągnięcia kredytu w wyżej wskazanej wysokości</w:t>
      </w:r>
      <w:r w:rsidRPr="00B0377C">
        <w:rPr>
          <w:rFonts w:ascii="Arial" w:hAnsi="Arial" w:cs="Arial"/>
          <w:lang w:eastAsia="pl-PL"/>
        </w:rPr>
        <w:t xml:space="preserve">. </w:t>
      </w:r>
      <w:r w:rsidR="00B058A4" w:rsidRPr="00DE33D5">
        <w:rPr>
          <w:rFonts w:ascii="Arial" w:hAnsi="Arial" w:cs="Arial"/>
          <w:lang w:eastAsia="pl-PL"/>
        </w:rPr>
        <w:t xml:space="preserve">Dodatkowo </w:t>
      </w:r>
      <w:r w:rsidR="00B058A4" w:rsidRPr="00DE33D5">
        <w:rPr>
          <w:rFonts w:ascii="Arial" w:hAnsi="Arial" w:cs="Arial"/>
        </w:rPr>
        <w:t xml:space="preserve"> </w:t>
      </w:r>
      <w:r w:rsidR="00B0377C" w:rsidRPr="00DE33D5">
        <w:rPr>
          <w:rFonts w:ascii="Arial" w:hAnsi="Arial" w:cs="Arial"/>
        </w:rPr>
        <w:t>w nowelizacji</w:t>
      </w:r>
      <w:r w:rsidR="00B058A4" w:rsidRPr="00DE33D5">
        <w:rPr>
          <w:rFonts w:ascii="Arial" w:hAnsi="Arial" w:cs="Arial"/>
        </w:rPr>
        <w:t xml:space="preserve"> ustawy z dnia 14 października 2021 r. o zmianie ustawy o dochodach jednostek samorządu terytorialnego oraz niektórych innych ustaw, wprowadzono nową część subwencji ogólnej – rozwojową. Na dzień sporządzenia projektu nie ma jeszcze informacji o wysokości kwot przypadających poszczególnym jst. W przypadku otrzymania w 2022 r. środków z w/w źródła, możliwe będzie zaciągnięcie kredytu w mniejszej kwocie niż planujemy.</w:t>
      </w:r>
      <w:r w:rsidR="00D7101D" w:rsidRPr="00DE33D5">
        <w:rPr>
          <w:rFonts w:ascii="Arial" w:hAnsi="Arial" w:cs="Arial"/>
        </w:rPr>
        <w:t xml:space="preserve"> </w:t>
      </w:r>
      <w:r w:rsidRPr="00DE33D5">
        <w:rPr>
          <w:rFonts w:ascii="Arial" w:hAnsi="Arial" w:cs="Arial"/>
          <w:lang w:eastAsia="pl-PL"/>
        </w:rPr>
        <w:t>W latach 202</w:t>
      </w:r>
      <w:r w:rsidR="00BD7EDA" w:rsidRPr="00DE33D5">
        <w:rPr>
          <w:rFonts w:ascii="Arial" w:hAnsi="Arial" w:cs="Arial"/>
          <w:lang w:eastAsia="pl-PL"/>
        </w:rPr>
        <w:t>4-2037</w:t>
      </w:r>
      <w:r w:rsidRPr="00DE33D5">
        <w:rPr>
          <w:rFonts w:ascii="Arial" w:hAnsi="Arial" w:cs="Arial"/>
          <w:lang w:eastAsia="pl-PL"/>
        </w:rPr>
        <w:t xml:space="preserve"> planuje się nadwyżkę budżetową z przeznaczeniem na spłatę kredytów. </w:t>
      </w:r>
    </w:p>
    <w:p w:rsidR="00524024" w:rsidRPr="0084760A"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sidRPr="0084760A">
        <w:rPr>
          <w:rFonts w:ascii="Arial" w:hAnsi="Arial" w:cs="Arial"/>
          <w:lang w:eastAsia="pl-PL"/>
        </w:rPr>
        <w:t>Rozchody budżetu związane ze spłatą rat kapitałowych zaciągniętych kredytów określono na podstawie aktualnych harmonogramów spłaty. W 202</w:t>
      </w:r>
      <w:r w:rsidR="00284A17" w:rsidRPr="0084760A">
        <w:rPr>
          <w:rFonts w:ascii="Arial" w:hAnsi="Arial" w:cs="Arial"/>
          <w:lang w:eastAsia="pl-PL"/>
        </w:rPr>
        <w:t>2</w:t>
      </w:r>
      <w:r w:rsidR="003D018A">
        <w:rPr>
          <w:rFonts w:ascii="Arial" w:hAnsi="Arial" w:cs="Arial"/>
          <w:lang w:eastAsia="pl-PL"/>
        </w:rPr>
        <w:t xml:space="preserve"> r. planowane rozchody </w:t>
      </w:r>
      <w:r w:rsidRPr="0084760A">
        <w:rPr>
          <w:rFonts w:ascii="Arial" w:hAnsi="Arial" w:cs="Arial"/>
          <w:lang w:eastAsia="pl-PL"/>
        </w:rPr>
        <w:t xml:space="preserve">z przeznaczeniem na spłatę kredytów z tytułu zawartych umów wyniosą </w:t>
      </w:r>
      <w:r w:rsidR="00284A17" w:rsidRPr="0084760A">
        <w:rPr>
          <w:rFonts w:ascii="Arial" w:hAnsi="Arial" w:cs="Arial"/>
          <w:lang w:eastAsia="pl-PL"/>
        </w:rPr>
        <w:t>13</w:t>
      </w:r>
      <w:r w:rsidR="00E56F74" w:rsidRPr="0084760A">
        <w:rPr>
          <w:rFonts w:ascii="Arial" w:hAnsi="Arial" w:cs="Arial"/>
          <w:lang w:eastAsia="pl-PL"/>
        </w:rPr>
        <w:t>.</w:t>
      </w:r>
      <w:r w:rsidR="00284A17" w:rsidRPr="0084760A">
        <w:rPr>
          <w:rFonts w:ascii="Arial" w:hAnsi="Arial" w:cs="Arial"/>
          <w:lang w:eastAsia="pl-PL"/>
        </w:rPr>
        <w:t>870</w:t>
      </w:r>
      <w:r w:rsidR="00E56F74" w:rsidRPr="0084760A">
        <w:rPr>
          <w:rFonts w:ascii="Arial" w:hAnsi="Arial" w:cs="Arial"/>
          <w:lang w:eastAsia="pl-PL"/>
        </w:rPr>
        <w:t>.</w:t>
      </w:r>
      <w:r w:rsidR="00284A17" w:rsidRPr="0084760A">
        <w:rPr>
          <w:rFonts w:ascii="Arial" w:hAnsi="Arial" w:cs="Arial"/>
          <w:lang w:eastAsia="pl-PL"/>
        </w:rPr>
        <w:t>904</w:t>
      </w:r>
      <w:r w:rsidR="00E56F74" w:rsidRPr="0084760A">
        <w:rPr>
          <w:rFonts w:ascii="Arial" w:hAnsi="Arial" w:cs="Arial"/>
          <w:lang w:eastAsia="pl-PL"/>
        </w:rPr>
        <w:t>,00</w:t>
      </w:r>
      <w:r w:rsidR="00247236" w:rsidRPr="0084760A">
        <w:rPr>
          <w:rFonts w:ascii="Arial" w:hAnsi="Arial" w:cs="Arial"/>
          <w:lang w:eastAsia="pl-PL"/>
        </w:rPr>
        <w:t xml:space="preserve"> zł </w:t>
      </w:r>
      <w:r w:rsidR="00247236" w:rsidRPr="0084760A">
        <w:rPr>
          <w:rFonts w:ascii="Arial" w:hAnsi="Arial" w:cs="Arial"/>
          <w:lang w:eastAsia="pl-PL"/>
        </w:rPr>
        <w:br/>
        <w:t>i zostaną</w:t>
      </w:r>
      <w:r w:rsidRPr="0084760A">
        <w:rPr>
          <w:rFonts w:ascii="Arial" w:hAnsi="Arial" w:cs="Arial"/>
          <w:lang w:eastAsia="pl-PL"/>
        </w:rPr>
        <w:t xml:space="preserve"> pokryte przychodami z tytułu kredytu długoterminowego.</w:t>
      </w:r>
    </w:p>
    <w:p w:rsidR="00C31C11" w:rsidRDefault="00DE33D5" w:rsidP="00C31C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hAnsi="Arial" w:cs="Arial"/>
          <w:lang w:eastAsia="pl-PL"/>
        </w:rPr>
      </w:pPr>
      <w:r>
        <w:rPr>
          <w:rFonts w:ascii="Arial" w:hAnsi="Arial" w:cs="Arial"/>
          <w:lang w:eastAsia="pl-PL"/>
        </w:rPr>
        <w:t xml:space="preserve"> </w:t>
      </w:r>
      <w:r w:rsidR="00524024" w:rsidRPr="0084760A">
        <w:rPr>
          <w:rFonts w:ascii="Arial" w:hAnsi="Arial" w:cs="Arial"/>
          <w:lang w:eastAsia="pl-PL"/>
        </w:rPr>
        <w:t>Poziom długu na koniec 202</w:t>
      </w:r>
      <w:r w:rsidR="00284A17" w:rsidRPr="0084760A">
        <w:rPr>
          <w:rFonts w:ascii="Arial" w:hAnsi="Arial" w:cs="Arial"/>
          <w:lang w:eastAsia="pl-PL"/>
        </w:rPr>
        <w:t>2</w:t>
      </w:r>
      <w:r w:rsidR="00524024" w:rsidRPr="0084760A">
        <w:rPr>
          <w:rFonts w:ascii="Arial" w:hAnsi="Arial" w:cs="Arial"/>
          <w:lang w:eastAsia="pl-PL"/>
        </w:rPr>
        <w:t xml:space="preserve"> roku budżetowego będzie wynosił </w:t>
      </w:r>
      <w:r w:rsidR="00F0729C" w:rsidRPr="0084760A">
        <w:rPr>
          <w:rFonts w:ascii="Arial" w:hAnsi="Arial" w:cs="Arial"/>
          <w:lang w:eastAsia="pl-PL"/>
        </w:rPr>
        <w:t>1</w:t>
      </w:r>
      <w:r w:rsidR="00BF0E69" w:rsidRPr="0084760A">
        <w:rPr>
          <w:rFonts w:ascii="Arial" w:hAnsi="Arial" w:cs="Arial"/>
          <w:lang w:eastAsia="pl-PL"/>
        </w:rPr>
        <w:t>94</w:t>
      </w:r>
      <w:r w:rsidR="00F0729C" w:rsidRPr="0084760A">
        <w:rPr>
          <w:rFonts w:ascii="Arial" w:hAnsi="Arial" w:cs="Arial"/>
          <w:lang w:eastAsia="pl-PL"/>
        </w:rPr>
        <w:t>.</w:t>
      </w:r>
      <w:r w:rsidR="00284A17" w:rsidRPr="0084760A">
        <w:rPr>
          <w:rFonts w:ascii="Arial" w:hAnsi="Arial" w:cs="Arial"/>
          <w:lang w:eastAsia="pl-PL"/>
        </w:rPr>
        <w:t>635</w:t>
      </w:r>
      <w:r w:rsidR="00F0729C" w:rsidRPr="0084760A">
        <w:rPr>
          <w:rFonts w:ascii="Arial" w:hAnsi="Arial" w:cs="Arial"/>
          <w:lang w:eastAsia="pl-PL"/>
        </w:rPr>
        <w:t>.</w:t>
      </w:r>
      <w:r w:rsidR="00284A17" w:rsidRPr="0084760A">
        <w:rPr>
          <w:rFonts w:ascii="Arial" w:hAnsi="Arial" w:cs="Arial"/>
          <w:lang w:eastAsia="pl-PL"/>
        </w:rPr>
        <w:t>754</w:t>
      </w:r>
      <w:r w:rsidR="00F0729C" w:rsidRPr="0084760A">
        <w:rPr>
          <w:rFonts w:ascii="Arial" w:hAnsi="Arial" w:cs="Arial"/>
          <w:lang w:eastAsia="pl-PL"/>
        </w:rPr>
        <w:t>,31</w:t>
      </w:r>
      <w:r w:rsidR="00847190" w:rsidRPr="0084760A">
        <w:rPr>
          <w:rFonts w:ascii="Arial" w:hAnsi="Arial" w:cs="Arial"/>
          <w:lang w:eastAsia="pl-PL"/>
        </w:rPr>
        <w:t xml:space="preserve"> zł, co stanowi </w:t>
      </w:r>
      <w:r w:rsidR="00B0377C">
        <w:rPr>
          <w:rFonts w:ascii="Arial" w:hAnsi="Arial" w:cs="Arial"/>
          <w:lang w:eastAsia="pl-PL"/>
        </w:rPr>
        <w:t>47,17</w:t>
      </w:r>
      <w:r w:rsidR="00847190" w:rsidRPr="0084760A">
        <w:rPr>
          <w:rFonts w:ascii="Arial" w:hAnsi="Arial" w:cs="Arial"/>
          <w:lang w:eastAsia="pl-PL"/>
        </w:rPr>
        <w:t xml:space="preserve">% planowanego dochodu ogółem. </w:t>
      </w:r>
      <w:r w:rsidR="00524024" w:rsidRPr="0084760A">
        <w:rPr>
          <w:rFonts w:ascii="Arial" w:hAnsi="Arial" w:cs="Arial"/>
          <w:lang w:eastAsia="pl-PL"/>
        </w:rPr>
        <w:t>Od 202</w:t>
      </w:r>
      <w:r w:rsidR="00284A17" w:rsidRPr="0084760A">
        <w:rPr>
          <w:rFonts w:ascii="Arial" w:hAnsi="Arial" w:cs="Arial"/>
          <w:lang w:eastAsia="pl-PL"/>
        </w:rPr>
        <w:t>4</w:t>
      </w:r>
      <w:r w:rsidR="00524024" w:rsidRPr="0084760A">
        <w:rPr>
          <w:rFonts w:ascii="Arial" w:hAnsi="Arial" w:cs="Arial"/>
          <w:lang w:eastAsia="pl-PL"/>
        </w:rPr>
        <w:t xml:space="preserve"> r. następuje spadek zadłużenia, przy zakładanej całkowitej spłacie zobowiązań do końca 203</w:t>
      </w:r>
      <w:r w:rsidR="00BF0E69" w:rsidRPr="0084760A">
        <w:rPr>
          <w:rFonts w:ascii="Arial" w:hAnsi="Arial" w:cs="Arial"/>
          <w:lang w:eastAsia="pl-PL"/>
        </w:rPr>
        <w:t>7</w:t>
      </w:r>
      <w:r w:rsidR="00524024" w:rsidRPr="0084760A">
        <w:rPr>
          <w:rFonts w:ascii="Arial" w:hAnsi="Arial" w:cs="Arial"/>
          <w:lang w:eastAsia="pl-PL"/>
        </w:rPr>
        <w:t xml:space="preserve"> r.</w:t>
      </w:r>
    </w:p>
    <w:p w:rsidR="00C31C11" w:rsidRPr="0084760A" w:rsidRDefault="00C31C11" w:rsidP="00C31C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hAnsi="Arial" w:cs="Arial"/>
          <w:lang w:eastAsia="pl-PL"/>
        </w:rPr>
      </w:pPr>
    </w:p>
    <w:p w:rsidR="00524024" w:rsidRPr="0084760A"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b/>
          <w:bCs/>
          <w:lang w:eastAsia="pl-PL"/>
        </w:rPr>
      </w:pPr>
      <w:r w:rsidRPr="0084760A">
        <w:rPr>
          <w:rFonts w:ascii="Arial" w:hAnsi="Arial" w:cs="Arial"/>
          <w:b/>
          <w:bCs/>
          <w:lang w:eastAsia="pl-PL"/>
        </w:rPr>
        <w:t xml:space="preserve"> 6. Wynik budżetu </w:t>
      </w:r>
    </w:p>
    <w:p w:rsidR="00347FBE" w:rsidRDefault="00E853B7" w:rsidP="001E6A50">
      <w:pPr>
        <w:spacing w:after="0"/>
        <w:ind w:right="108"/>
        <w:jc w:val="both"/>
        <w:rPr>
          <w:rFonts w:ascii="Arial" w:hAnsi="Arial" w:cs="Arial"/>
        </w:rPr>
      </w:pPr>
      <w:r w:rsidRPr="0084760A">
        <w:rPr>
          <w:rFonts w:ascii="Arial" w:hAnsi="Arial" w:cs="Arial"/>
          <w:lang w:eastAsia="pl-PL"/>
        </w:rPr>
        <w:t xml:space="preserve">Deficyt budżetu na 2022 r. wynosi 36.867.265 zł, który zostanie pokryty kredytem długoterminowym w kwocie 21.129.096 zł oraz wolnymi środkami, o których mowa w art. 217 </w:t>
      </w:r>
      <w:r w:rsidRPr="0084760A">
        <w:rPr>
          <w:rFonts w:ascii="Arial" w:hAnsi="Arial" w:cs="Arial"/>
          <w:lang w:eastAsia="pl-PL"/>
        </w:rPr>
        <w:lastRenderedPageBreak/>
        <w:t xml:space="preserve">ust. 2 pkt 6 ustawy o finansach publicznych; t.j. </w:t>
      </w:r>
      <w:r w:rsidRPr="0084760A">
        <w:rPr>
          <w:rFonts w:ascii="Arial" w:hAnsi="Arial" w:cs="Arial"/>
        </w:rPr>
        <w:t>środkami zgromadzonymi na wyodrębnio</w:t>
      </w:r>
      <w:r w:rsidR="00347FBE">
        <w:rPr>
          <w:rFonts w:ascii="Arial" w:hAnsi="Arial" w:cs="Arial"/>
        </w:rPr>
        <w:t>nych rachunkach bankowych i nie</w:t>
      </w:r>
      <w:r w:rsidRPr="0084760A">
        <w:rPr>
          <w:rFonts w:ascii="Arial" w:hAnsi="Arial" w:cs="Arial"/>
        </w:rPr>
        <w:t>wydatkowanymi w roku bieżącym</w:t>
      </w:r>
      <w:r w:rsidR="00347FBE">
        <w:rPr>
          <w:rFonts w:ascii="Arial" w:hAnsi="Arial" w:cs="Arial"/>
        </w:rPr>
        <w:t>:</w:t>
      </w:r>
    </w:p>
    <w:p w:rsidR="008B064D" w:rsidRDefault="008B064D" w:rsidP="001E6A50">
      <w:pPr>
        <w:spacing w:after="0"/>
        <w:ind w:right="108"/>
        <w:jc w:val="both"/>
        <w:rPr>
          <w:rFonts w:ascii="Arial" w:hAnsi="Arial" w:cs="Arial"/>
        </w:rPr>
      </w:pPr>
    </w:p>
    <w:p w:rsidR="00347FBE" w:rsidRDefault="00347FBE" w:rsidP="001E6A50">
      <w:pPr>
        <w:spacing w:after="0"/>
        <w:ind w:right="108"/>
        <w:jc w:val="both"/>
        <w:rPr>
          <w:rFonts w:ascii="Arial" w:hAnsi="Arial" w:cs="Arial"/>
        </w:rPr>
      </w:pPr>
      <w:r>
        <w:rPr>
          <w:rFonts w:ascii="Arial" w:hAnsi="Arial" w:cs="Arial"/>
        </w:rPr>
        <w:t>-</w:t>
      </w:r>
      <w:r w:rsidR="00E853B7" w:rsidRPr="0084760A">
        <w:rPr>
          <w:rFonts w:ascii="Arial" w:hAnsi="Arial" w:cs="Arial"/>
        </w:rPr>
        <w:t xml:space="preserve"> </w:t>
      </w:r>
      <w:r>
        <w:rPr>
          <w:rFonts w:ascii="Arial" w:hAnsi="Arial" w:cs="Arial"/>
        </w:rPr>
        <w:t xml:space="preserve">z tytułu </w:t>
      </w:r>
      <w:r w:rsidR="00E853B7" w:rsidRPr="0084760A">
        <w:rPr>
          <w:rFonts w:ascii="Arial" w:hAnsi="Arial" w:cs="Arial"/>
        </w:rPr>
        <w:t xml:space="preserve">dotacji na realizację inwestycji </w:t>
      </w:r>
      <w:r w:rsidR="00E853B7" w:rsidRPr="00AA284D">
        <w:rPr>
          <w:rFonts w:ascii="Arial" w:hAnsi="Arial" w:cs="Arial"/>
        </w:rPr>
        <w:t>w kwocie ogółem 9 738 169zł, z tego:</w:t>
      </w:r>
      <w:r w:rsidR="00E853B7">
        <w:rPr>
          <w:rFonts w:ascii="Arial" w:hAnsi="Arial" w:cs="Arial"/>
        </w:rPr>
        <w:t xml:space="preserve"> 1 741 200zł</w:t>
      </w:r>
      <w:r w:rsidR="00E853B7" w:rsidRPr="00AA284D">
        <w:rPr>
          <w:rFonts w:ascii="Arial" w:hAnsi="Arial" w:cs="Arial"/>
        </w:rPr>
        <w:t xml:space="preserve"> z Rządowego Funduszu Rozwoju Dróg na rozbudowę ul. Jasnej oraz sięgacza ul. Wesołej,</w:t>
      </w:r>
      <w:r w:rsidR="00E853B7">
        <w:rPr>
          <w:rFonts w:ascii="Arial" w:hAnsi="Arial" w:cs="Arial"/>
        </w:rPr>
        <w:t xml:space="preserve"> 4 496 969zł</w:t>
      </w:r>
      <w:r w:rsidR="00E853B7" w:rsidRPr="00AA284D">
        <w:rPr>
          <w:rFonts w:ascii="Arial" w:hAnsi="Arial" w:cs="Arial"/>
        </w:rPr>
        <w:t xml:space="preserve"> z Funduszu Dopłat w ramach realizacji przez Bank Gospodarstwa Krajowego rządowego programu budownictwa komunalnego na modernizację kamienicy przy ul. Polowej 65,</w:t>
      </w:r>
      <w:r w:rsidR="00E853B7">
        <w:rPr>
          <w:rFonts w:ascii="Arial" w:hAnsi="Arial" w:cs="Arial"/>
        </w:rPr>
        <w:t xml:space="preserve"> 3 500 000 zł</w:t>
      </w:r>
      <w:r w:rsidR="00E853B7" w:rsidRPr="00AA284D">
        <w:rPr>
          <w:rFonts w:ascii="Arial" w:hAnsi="Arial" w:cs="Arial"/>
        </w:rPr>
        <w:t xml:space="preserve"> z Rządowego Funduszu Inwestycji Lokalnych na budowę sali sportow</w:t>
      </w:r>
      <w:r>
        <w:rPr>
          <w:rFonts w:ascii="Arial" w:hAnsi="Arial" w:cs="Arial"/>
        </w:rPr>
        <w:t>ej przy Szkole Podstawowej Nr 5,</w:t>
      </w:r>
      <w:r w:rsidR="00E853B7" w:rsidRPr="00AA284D">
        <w:rPr>
          <w:rFonts w:ascii="Arial" w:hAnsi="Arial" w:cs="Arial"/>
        </w:rPr>
        <w:t xml:space="preserve"> </w:t>
      </w:r>
    </w:p>
    <w:p w:rsidR="008B064D" w:rsidRDefault="008B064D" w:rsidP="001E6A50">
      <w:pPr>
        <w:spacing w:after="0"/>
        <w:ind w:right="108"/>
        <w:jc w:val="both"/>
        <w:rPr>
          <w:rFonts w:ascii="Arial" w:hAnsi="Arial" w:cs="Arial"/>
        </w:rPr>
      </w:pPr>
    </w:p>
    <w:p w:rsidR="00E853B7" w:rsidRDefault="00347FBE" w:rsidP="001E6A50">
      <w:pPr>
        <w:spacing w:after="0" w:line="240" w:lineRule="auto"/>
        <w:ind w:right="108"/>
        <w:jc w:val="both"/>
        <w:rPr>
          <w:rFonts w:ascii="Arial" w:hAnsi="Arial" w:cs="Arial"/>
        </w:rPr>
      </w:pPr>
      <w:r>
        <w:rPr>
          <w:rFonts w:ascii="Arial" w:hAnsi="Arial" w:cs="Arial"/>
        </w:rPr>
        <w:t xml:space="preserve">- środkami w </w:t>
      </w:r>
      <w:r w:rsidR="00E853B7" w:rsidRPr="00AA284D">
        <w:rPr>
          <w:rFonts w:ascii="Arial" w:hAnsi="Arial" w:cs="Arial"/>
        </w:rPr>
        <w:t>kwo</w:t>
      </w:r>
      <w:r>
        <w:rPr>
          <w:rFonts w:ascii="Arial" w:hAnsi="Arial" w:cs="Arial"/>
        </w:rPr>
        <w:t>cie 6 000 000 zł, stanowiącymi</w:t>
      </w:r>
      <w:r w:rsidR="00E853B7" w:rsidRPr="00AA284D">
        <w:rPr>
          <w:rFonts w:ascii="Arial" w:hAnsi="Arial" w:cs="Arial"/>
        </w:rPr>
        <w:t xml:space="preserve"> część przyznanej miastu, uzupełniającej subwencji ogólnej w 2021 roku na podstawie decyzji Ministra Finansów </w:t>
      </w:r>
      <w:r>
        <w:rPr>
          <w:rFonts w:ascii="Arial" w:hAnsi="Arial" w:cs="Arial"/>
        </w:rPr>
        <w:t>Nr ST3.4751.5.2021</w:t>
      </w:r>
      <w:r w:rsidR="00E853B7" w:rsidRPr="00AA284D">
        <w:rPr>
          <w:rFonts w:ascii="Arial" w:hAnsi="Arial" w:cs="Arial"/>
        </w:rPr>
        <w:t>; Nr ST8.4751.10.2021 i nie zaangażowanej na wydatki w roku bieżącym</w:t>
      </w:r>
      <w:r w:rsidR="00E853B7" w:rsidRPr="0084760A">
        <w:rPr>
          <w:rFonts w:ascii="Arial" w:hAnsi="Arial" w:cs="Arial"/>
        </w:rPr>
        <w:t>.</w:t>
      </w:r>
    </w:p>
    <w:p w:rsidR="001E6A50" w:rsidRPr="0084760A" w:rsidRDefault="001E6A50" w:rsidP="001E6A50">
      <w:pPr>
        <w:spacing w:after="0" w:line="240" w:lineRule="auto"/>
        <w:ind w:right="108"/>
        <w:jc w:val="both"/>
        <w:rPr>
          <w:rFonts w:ascii="Arial" w:hAnsi="Arial" w:cs="Arial"/>
        </w:rPr>
      </w:pPr>
    </w:p>
    <w:p w:rsidR="00DE33D5" w:rsidRDefault="00524024" w:rsidP="001E6A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lang w:eastAsia="pl-PL"/>
        </w:rPr>
      </w:pPr>
      <w:r w:rsidRPr="0084760A">
        <w:rPr>
          <w:rFonts w:ascii="Arial" w:hAnsi="Arial" w:cs="Arial"/>
          <w:lang w:eastAsia="pl-PL"/>
        </w:rPr>
        <w:t xml:space="preserve">W całym prognozowanym okresie spełniona jest relacja wynikająca z art. 242 ustawy </w:t>
      </w:r>
      <w:r w:rsidRPr="0084760A">
        <w:rPr>
          <w:rFonts w:ascii="Arial" w:hAnsi="Arial" w:cs="Arial"/>
          <w:lang w:eastAsia="pl-PL"/>
        </w:rPr>
        <w:br/>
        <w:t>o finansach publicznych w zakresie zrównoważenia dochodów</w:t>
      </w:r>
      <w:r w:rsidR="00A203D5" w:rsidRPr="0084760A">
        <w:rPr>
          <w:rFonts w:ascii="Arial" w:hAnsi="Arial" w:cs="Arial"/>
          <w:lang w:eastAsia="pl-PL"/>
        </w:rPr>
        <w:t xml:space="preserve"> i wydatków bieżących. </w:t>
      </w:r>
      <w:r w:rsidR="00A203D5" w:rsidRPr="0084760A">
        <w:rPr>
          <w:rFonts w:ascii="Arial" w:hAnsi="Arial" w:cs="Arial"/>
          <w:lang w:eastAsia="pl-PL"/>
        </w:rPr>
        <w:br/>
      </w:r>
      <w:r w:rsidRPr="0084760A">
        <w:rPr>
          <w:rFonts w:ascii="Arial" w:hAnsi="Arial" w:cs="Arial"/>
          <w:lang w:eastAsia="pl-PL"/>
        </w:rPr>
        <w:t xml:space="preserve">Dla całego okresu Wieloletniej Prognozy Finansowej zachowany został wymóg </w:t>
      </w:r>
      <w:r w:rsidR="008034C5" w:rsidRPr="0084760A">
        <w:rPr>
          <w:rFonts w:ascii="Arial" w:hAnsi="Arial" w:cs="Arial"/>
          <w:lang w:eastAsia="pl-PL"/>
        </w:rPr>
        <w:t xml:space="preserve">spełnienia relacji wynikającej </w:t>
      </w:r>
      <w:r w:rsidRPr="0084760A">
        <w:rPr>
          <w:rFonts w:ascii="Arial" w:hAnsi="Arial" w:cs="Arial"/>
          <w:lang w:eastAsia="pl-PL"/>
        </w:rPr>
        <w:t>z art.243 ust.1. ustawy o finansach publicznych.</w:t>
      </w:r>
    </w:p>
    <w:p w:rsidR="009B4726" w:rsidRDefault="009B4726" w:rsidP="001E6A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lang w:eastAsia="pl-PL"/>
        </w:rPr>
      </w:pPr>
    </w:p>
    <w:p w:rsidR="00BF29CE" w:rsidRDefault="00E853B7" w:rsidP="008B06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Pr>
          <w:rFonts w:ascii="Arial" w:hAnsi="Arial" w:cs="Arial"/>
          <w:lang w:eastAsia="pl-PL"/>
        </w:rPr>
        <w:t>Mając na uwadze zapis w ustawie z dnia 14 grudnia 2018 r. o zmianie ustawy o finansach publicznych oraz niektórych innych ustaw (Dz. U. z 2018 r. poz</w:t>
      </w:r>
      <w:r w:rsidR="00BF29CE">
        <w:rPr>
          <w:rFonts w:ascii="Arial" w:hAnsi="Arial" w:cs="Arial"/>
          <w:lang w:eastAsia="pl-PL"/>
        </w:rPr>
        <w:t>.</w:t>
      </w:r>
      <w:r>
        <w:rPr>
          <w:rFonts w:ascii="Arial" w:hAnsi="Arial" w:cs="Arial"/>
          <w:lang w:eastAsia="pl-PL"/>
        </w:rPr>
        <w:t xml:space="preserve"> 2500) w art. 9 ust 1</w:t>
      </w:r>
      <w:r w:rsidR="00ED70A0">
        <w:rPr>
          <w:rFonts w:ascii="Arial" w:hAnsi="Arial" w:cs="Arial"/>
          <w:lang w:eastAsia="pl-PL"/>
        </w:rPr>
        <w:t>, który otrzymał</w:t>
      </w:r>
      <w:r>
        <w:rPr>
          <w:rFonts w:ascii="Arial" w:hAnsi="Arial" w:cs="Arial"/>
          <w:lang w:eastAsia="pl-PL"/>
        </w:rPr>
        <w:t xml:space="preserve"> brzmienie</w:t>
      </w:r>
      <w:r w:rsidR="00ED70A0">
        <w:rPr>
          <w:rFonts w:ascii="Arial" w:hAnsi="Arial" w:cs="Arial"/>
          <w:lang w:eastAsia="pl-PL"/>
        </w:rPr>
        <w:t>:</w:t>
      </w:r>
      <w:r>
        <w:rPr>
          <w:rFonts w:ascii="Arial" w:hAnsi="Arial" w:cs="Arial"/>
          <w:lang w:eastAsia="pl-PL"/>
        </w:rPr>
        <w:t xml:space="preserve"> </w:t>
      </w:r>
      <w:r w:rsidRPr="00A0715E">
        <w:rPr>
          <w:rFonts w:ascii="Arial" w:hAnsi="Arial" w:cs="Arial"/>
          <w:i/>
          <w:lang w:eastAsia="pl-PL"/>
        </w:rPr>
        <w:t>„1. Ustalana na lata 2022-2025 relacja łącznej kwoty przypadających w danym roku budżetowym spłat i wykupów określonych w art. 243 ust 1 ustawy zmienianej w art. 1, w brzmi</w:t>
      </w:r>
      <w:r w:rsidR="00BF29CE" w:rsidRPr="00A0715E">
        <w:rPr>
          <w:rFonts w:ascii="Arial" w:hAnsi="Arial" w:cs="Arial"/>
          <w:i/>
          <w:lang w:eastAsia="pl-PL"/>
        </w:rPr>
        <w:t>e</w:t>
      </w:r>
      <w:r w:rsidRPr="00A0715E">
        <w:rPr>
          <w:rFonts w:ascii="Arial" w:hAnsi="Arial" w:cs="Arial"/>
          <w:i/>
          <w:lang w:eastAsia="pl-PL"/>
        </w:rPr>
        <w:t xml:space="preserve">niu nadanym niniejszą ustawą, do planowanych </w:t>
      </w:r>
      <w:r w:rsidR="00BF29CE" w:rsidRPr="00A0715E">
        <w:rPr>
          <w:rFonts w:ascii="Arial" w:hAnsi="Arial" w:cs="Arial"/>
          <w:i/>
          <w:lang w:eastAsia="pl-PL"/>
        </w:rPr>
        <w:t>d</w:t>
      </w:r>
      <w:r w:rsidRPr="00A0715E">
        <w:rPr>
          <w:rFonts w:ascii="Arial" w:hAnsi="Arial" w:cs="Arial"/>
          <w:i/>
          <w:lang w:eastAsia="pl-PL"/>
        </w:rPr>
        <w:t xml:space="preserve">ochodów bieżących budżetu nie </w:t>
      </w:r>
      <w:r w:rsidR="00BF29CE" w:rsidRPr="00A0715E">
        <w:rPr>
          <w:rFonts w:ascii="Arial" w:hAnsi="Arial" w:cs="Arial"/>
          <w:i/>
          <w:lang w:eastAsia="pl-PL"/>
        </w:rPr>
        <w:t xml:space="preserve">może </w:t>
      </w:r>
      <w:r w:rsidRPr="00A0715E">
        <w:rPr>
          <w:rFonts w:ascii="Arial" w:hAnsi="Arial" w:cs="Arial"/>
          <w:i/>
          <w:lang w:eastAsia="pl-PL"/>
        </w:rPr>
        <w:t>przekroczyć średniej arytmetycznej z obliczonych dla ostatnich trzech albo siedmiu lat relacji dochodów bieżących powiększonych o dochody ze sprzedaży majątku oraz pomniejszonych o wydatki bieżące do dochodów bieżących budżetu”</w:t>
      </w:r>
      <w:r w:rsidR="008B064D">
        <w:rPr>
          <w:rFonts w:ascii="Arial" w:hAnsi="Arial" w:cs="Arial"/>
          <w:lang w:eastAsia="pl-PL"/>
        </w:rPr>
        <w:t xml:space="preserve"> </w:t>
      </w:r>
      <w:r w:rsidR="00ED70A0">
        <w:rPr>
          <w:rFonts w:ascii="Arial" w:hAnsi="Arial" w:cs="Arial"/>
          <w:lang w:eastAsia="pl-PL"/>
        </w:rPr>
        <w:t xml:space="preserve">oraz </w:t>
      </w:r>
      <w:r>
        <w:rPr>
          <w:rFonts w:ascii="Arial" w:hAnsi="Arial" w:cs="Arial"/>
          <w:lang w:eastAsia="pl-PL"/>
        </w:rPr>
        <w:t>koniecznoś</w:t>
      </w:r>
      <w:r w:rsidR="00ED70A0">
        <w:rPr>
          <w:rFonts w:ascii="Arial" w:hAnsi="Arial" w:cs="Arial"/>
          <w:lang w:eastAsia="pl-PL"/>
        </w:rPr>
        <w:t>ć</w:t>
      </w:r>
      <w:r w:rsidR="008B064D">
        <w:rPr>
          <w:rFonts w:ascii="Arial" w:hAnsi="Arial" w:cs="Arial"/>
          <w:lang w:eastAsia="pl-PL"/>
        </w:rPr>
        <w:t>, w związku z tym,</w:t>
      </w:r>
      <w:r>
        <w:rPr>
          <w:rFonts w:ascii="Arial" w:hAnsi="Arial" w:cs="Arial"/>
          <w:lang w:eastAsia="pl-PL"/>
        </w:rPr>
        <w:t xml:space="preserve"> wyboru </w:t>
      </w:r>
      <w:r w:rsidR="00143010">
        <w:rPr>
          <w:rFonts w:ascii="Arial" w:hAnsi="Arial" w:cs="Arial"/>
          <w:lang w:eastAsia="pl-PL"/>
        </w:rPr>
        <w:t xml:space="preserve">indywidualnego </w:t>
      </w:r>
      <w:r>
        <w:rPr>
          <w:rFonts w:ascii="Arial" w:hAnsi="Arial" w:cs="Arial"/>
          <w:lang w:eastAsia="pl-PL"/>
        </w:rPr>
        <w:t xml:space="preserve">wskaźnika </w:t>
      </w:r>
      <w:r w:rsidR="00143010">
        <w:rPr>
          <w:rFonts w:ascii="Arial" w:hAnsi="Arial" w:cs="Arial"/>
          <w:lang w:eastAsia="pl-PL"/>
        </w:rPr>
        <w:t xml:space="preserve">zadłużenia </w:t>
      </w:r>
      <w:r>
        <w:rPr>
          <w:rFonts w:ascii="Arial" w:hAnsi="Arial" w:cs="Arial"/>
          <w:lang w:eastAsia="pl-PL"/>
        </w:rPr>
        <w:t xml:space="preserve">przez jst, Miasto Łomża </w:t>
      </w:r>
      <w:r w:rsidR="008B064D">
        <w:rPr>
          <w:rFonts w:ascii="Arial" w:hAnsi="Arial" w:cs="Arial"/>
          <w:lang w:eastAsia="pl-PL"/>
        </w:rPr>
        <w:t>podjęło decyzję o</w:t>
      </w:r>
      <w:r>
        <w:rPr>
          <w:rFonts w:ascii="Arial" w:hAnsi="Arial" w:cs="Arial"/>
          <w:lang w:eastAsia="pl-PL"/>
        </w:rPr>
        <w:t xml:space="preserve"> wybor</w:t>
      </w:r>
      <w:r w:rsidR="008B064D">
        <w:rPr>
          <w:rFonts w:ascii="Arial" w:hAnsi="Arial" w:cs="Arial"/>
          <w:lang w:eastAsia="pl-PL"/>
        </w:rPr>
        <w:t>ze</w:t>
      </w:r>
      <w:r>
        <w:rPr>
          <w:rFonts w:ascii="Arial" w:hAnsi="Arial" w:cs="Arial"/>
          <w:lang w:eastAsia="pl-PL"/>
        </w:rPr>
        <w:t xml:space="preserve"> wskaźnika liczonego z ostatnic</w:t>
      </w:r>
      <w:r w:rsidR="00ED70A0">
        <w:rPr>
          <w:rFonts w:ascii="Arial" w:hAnsi="Arial" w:cs="Arial"/>
          <w:lang w:eastAsia="pl-PL"/>
        </w:rPr>
        <w:t>h siedmiu lat</w:t>
      </w:r>
      <w:r w:rsidR="00143010">
        <w:rPr>
          <w:rFonts w:ascii="Arial" w:hAnsi="Arial" w:cs="Arial"/>
          <w:lang w:eastAsia="pl-PL"/>
        </w:rPr>
        <w:t xml:space="preserve"> relacji dochodów bieżących powiększonych o dochody ze sprzedaży majątku oraz pomniejszonych o wydatki bieżące do dochodów bieżących budżetu.</w:t>
      </w:r>
    </w:p>
    <w:p w:rsidR="00ED70A0" w:rsidRPr="00ED70A0" w:rsidRDefault="00ED70A0" w:rsidP="00ED70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lang w:eastAsia="pl-PL"/>
        </w:rPr>
      </w:pPr>
    </w:p>
    <w:p w:rsidR="00ED70A0" w:rsidRPr="00524024" w:rsidRDefault="00DE33D5" w:rsidP="008476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b/>
          <w:bCs/>
          <w:lang w:eastAsia="pl-PL"/>
        </w:rPr>
      </w:pPr>
      <w:r>
        <w:rPr>
          <w:rFonts w:ascii="Arial" w:hAnsi="Arial" w:cs="Arial"/>
          <w:b/>
          <w:bCs/>
          <w:lang w:eastAsia="pl-PL"/>
        </w:rPr>
        <w:t>7</w:t>
      </w:r>
      <w:r w:rsidR="00524024" w:rsidRPr="00524024">
        <w:rPr>
          <w:rFonts w:ascii="Arial" w:hAnsi="Arial" w:cs="Arial"/>
          <w:b/>
          <w:bCs/>
          <w:lang w:eastAsia="pl-PL"/>
        </w:rPr>
        <w:t>. Wykaz przedsięw</w:t>
      </w:r>
      <w:r w:rsidR="00180972">
        <w:rPr>
          <w:rFonts w:ascii="Arial" w:hAnsi="Arial" w:cs="Arial"/>
          <w:b/>
          <w:bCs/>
          <w:lang w:eastAsia="pl-PL"/>
        </w:rPr>
        <w:t>zięć realizowanych w latach 2022-2025</w:t>
      </w:r>
    </w:p>
    <w:p w:rsidR="00524024" w:rsidRPr="00524024" w:rsidRDefault="0034428F" w:rsidP="008476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Pr>
          <w:rFonts w:ascii="Arial" w:hAnsi="Arial" w:cs="Arial"/>
          <w:lang w:eastAsia="pl-PL"/>
        </w:rPr>
        <w:t>W</w:t>
      </w:r>
      <w:r w:rsidR="00524024" w:rsidRPr="00524024">
        <w:rPr>
          <w:rFonts w:ascii="Arial" w:hAnsi="Arial" w:cs="Arial"/>
          <w:lang w:eastAsia="pl-PL"/>
        </w:rPr>
        <w:t xml:space="preserve"> załączniku „Wykaz przedsięwzięć do WPF” przedstawiono realizację zadań na lata </w:t>
      </w:r>
      <w:r w:rsidR="00524024" w:rsidRPr="00524024">
        <w:rPr>
          <w:rFonts w:ascii="Arial" w:hAnsi="Arial" w:cs="Arial"/>
          <w:lang w:eastAsia="pl-PL"/>
        </w:rPr>
        <w:br/>
        <w:t>202</w:t>
      </w:r>
      <w:r w:rsidR="00180972">
        <w:rPr>
          <w:rFonts w:ascii="Arial" w:hAnsi="Arial" w:cs="Arial"/>
          <w:lang w:eastAsia="pl-PL"/>
        </w:rPr>
        <w:t>2</w:t>
      </w:r>
      <w:r w:rsidR="00524024" w:rsidRPr="00524024">
        <w:rPr>
          <w:rFonts w:ascii="Arial" w:hAnsi="Arial" w:cs="Arial"/>
          <w:lang w:eastAsia="pl-PL"/>
        </w:rPr>
        <w:t>-202</w:t>
      </w:r>
      <w:r w:rsidR="00180972">
        <w:rPr>
          <w:rFonts w:ascii="Arial" w:hAnsi="Arial" w:cs="Arial"/>
          <w:lang w:eastAsia="pl-PL"/>
        </w:rPr>
        <w:t>5</w:t>
      </w:r>
      <w:r w:rsidR="00524024" w:rsidRPr="00524024">
        <w:rPr>
          <w:rFonts w:ascii="Arial" w:hAnsi="Arial" w:cs="Arial"/>
          <w:lang w:eastAsia="pl-PL"/>
        </w:rPr>
        <w:t xml:space="preserve">. W </w:t>
      </w:r>
      <w:r w:rsidR="00524024" w:rsidRPr="00106355">
        <w:rPr>
          <w:rFonts w:ascii="Arial" w:hAnsi="Arial" w:cs="Arial"/>
          <w:lang w:eastAsia="pl-PL"/>
        </w:rPr>
        <w:t>202</w:t>
      </w:r>
      <w:r w:rsidR="00180972" w:rsidRPr="00106355">
        <w:rPr>
          <w:rFonts w:ascii="Arial" w:hAnsi="Arial" w:cs="Arial"/>
          <w:lang w:eastAsia="pl-PL"/>
        </w:rPr>
        <w:t>2</w:t>
      </w:r>
      <w:r w:rsidR="00524024" w:rsidRPr="00106355">
        <w:rPr>
          <w:rFonts w:ascii="Arial" w:hAnsi="Arial" w:cs="Arial"/>
          <w:lang w:eastAsia="pl-PL"/>
        </w:rPr>
        <w:t xml:space="preserve"> r. limit wydatków na przedsięwzięcia ogółem wynosi </w:t>
      </w:r>
      <w:r w:rsidR="00106355" w:rsidRPr="00106355">
        <w:rPr>
          <w:rFonts w:ascii="Arial" w:hAnsi="Arial" w:cs="Arial"/>
          <w:lang w:eastAsia="pl-PL"/>
        </w:rPr>
        <w:t>112</w:t>
      </w:r>
      <w:r w:rsidR="00F1656B" w:rsidRPr="00106355">
        <w:rPr>
          <w:rFonts w:ascii="Arial" w:hAnsi="Arial" w:cs="Arial"/>
          <w:lang w:eastAsia="pl-PL"/>
        </w:rPr>
        <w:t>.</w:t>
      </w:r>
      <w:r w:rsidR="00106355" w:rsidRPr="00106355">
        <w:rPr>
          <w:rFonts w:ascii="Arial" w:hAnsi="Arial" w:cs="Arial"/>
          <w:lang w:eastAsia="pl-PL"/>
        </w:rPr>
        <w:t>00</w:t>
      </w:r>
      <w:r w:rsidR="00F1656B" w:rsidRPr="00106355">
        <w:rPr>
          <w:rFonts w:ascii="Arial" w:hAnsi="Arial" w:cs="Arial"/>
          <w:lang w:eastAsia="pl-PL"/>
        </w:rPr>
        <w:t>4.</w:t>
      </w:r>
      <w:r w:rsidR="00106355" w:rsidRPr="00106355">
        <w:rPr>
          <w:rFonts w:ascii="Arial" w:hAnsi="Arial" w:cs="Arial"/>
          <w:lang w:eastAsia="pl-PL"/>
        </w:rPr>
        <w:t>45</w:t>
      </w:r>
      <w:r w:rsidR="00F1656B" w:rsidRPr="00106355">
        <w:rPr>
          <w:rFonts w:ascii="Arial" w:hAnsi="Arial" w:cs="Arial"/>
          <w:lang w:eastAsia="pl-PL"/>
        </w:rPr>
        <w:t>6</w:t>
      </w:r>
      <w:r w:rsidR="00524024" w:rsidRPr="00106355">
        <w:rPr>
          <w:rFonts w:ascii="Arial" w:hAnsi="Arial" w:cs="Arial"/>
          <w:lang w:eastAsia="pl-PL"/>
        </w:rPr>
        <w:t xml:space="preserve"> zł</w:t>
      </w:r>
      <w:r w:rsidR="004035E9" w:rsidRPr="00106355">
        <w:rPr>
          <w:rFonts w:ascii="Arial" w:hAnsi="Arial" w:cs="Arial"/>
          <w:lang w:eastAsia="pl-PL"/>
        </w:rPr>
        <w:t>,</w:t>
      </w:r>
      <w:r w:rsidR="00524024" w:rsidRPr="00106355">
        <w:rPr>
          <w:rFonts w:ascii="Arial" w:hAnsi="Arial" w:cs="Arial"/>
          <w:lang w:eastAsia="pl-PL"/>
        </w:rPr>
        <w:br/>
        <w:t xml:space="preserve">z czego limit na wydatki bieżące wynosi </w:t>
      </w:r>
      <w:r w:rsidR="00106355" w:rsidRPr="00106355">
        <w:rPr>
          <w:rFonts w:ascii="Arial" w:hAnsi="Arial" w:cs="Arial"/>
          <w:lang w:eastAsia="pl-PL"/>
        </w:rPr>
        <w:t>21</w:t>
      </w:r>
      <w:r w:rsidR="00F1656B" w:rsidRPr="00106355">
        <w:rPr>
          <w:rFonts w:ascii="Arial" w:hAnsi="Arial" w:cs="Arial"/>
          <w:lang w:eastAsia="pl-PL"/>
        </w:rPr>
        <w:t>.</w:t>
      </w:r>
      <w:r w:rsidR="00106355" w:rsidRPr="00106355">
        <w:rPr>
          <w:rFonts w:ascii="Arial" w:hAnsi="Arial" w:cs="Arial"/>
          <w:lang w:eastAsia="pl-PL"/>
        </w:rPr>
        <w:t>047</w:t>
      </w:r>
      <w:r w:rsidR="00F1656B" w:rsidRPr="00106355">
        <w:rPr>
          <w:rFonts w:ascii="Arial" w:hAnsi="Arial" w:cs="Arial"/>
          <w:lang w:eastAsia="pl-PL"/>
        </w:rPr>
        <w:t>.</w:t>
      </w:r>
      <w:r w:rsidR="00106355" w:rsidRPr="00106355">
        <w:rPr>
          <w:rFonts w:ascii="Arial" w:hAnsi="Arial" w:cs="Arial"/>
          <w:lang w:eastAsia="pl-PL"/>
        </w:rPr>
        <w:t>906</w:t>
      </w:r>
      <w:r w:rsidR="00524024" w:rsidRPr="00106355">
        <w:rPr>
          <w:rFonts w:ascii="Arial" w:hAnsi="Arial" w:cs="Arial"/>
          <w:lang w:eastAsia="pl-PL"/>
        </w:rPr>
        <w:t xml:space="preserve"> zł, zaś limit na wydatki majątkowe </w:t>
      </w:r>
      <w:r w:rsidR="00524024" w:rsidRPr="00106355">
        <w:rPr>
          <w:rFonts w:ascii="Arial" w:hAnsi="Arial" w:cs="Arial"/>
          <w:lang w:eastAsia="pl-PL"/>
        </w:rPr>
        <w:br/>
      </w:r>
      <w:r w:rsidR="00106355" w:rsidRPr="00106355">
        <w:rPr>
          <w:rFonts w:ascii="Arial" w:hAnsi="Arial" w:cs="Arial"/>
          <w:lang w:eastAsia="pl-PL"/>
        </w:rPr>
        <w:t>90</w:t>
      </w:r>
      <w:r w:rsidR="00F1656B" w:rsidRPr="00106355">
        <w:rPr>
          <w:rFonts w:ascii="Arial" w:hAnsi="Arial" w:cs="Arial"/>
          <w:lang w:eastAsia="pl-PL"/>
        </w:rPr>
        <w:t>.</w:t>
      </w:r>
      <w:r w:rsidR="00106355" w:rsidRPr="00106355">
        <w:rPr>
          <w:rFonts w:ascii="Arial" w:hAnsi="Arial" w:cs="Arial"/>
          <w:lang w:eastAsia="pl-PL"/>
        </w:rPr>
        <w:t>956</w:t>
      </w:r>
      <w:r w:rsidR="00F1656B" w:rsidRPr="00106355">
        <w:rPr>
          <w:rFonts w:ascii="Arial" w:hAnsi="Arial" w:cs="Arial"/>
          <w:lang w:eastAsia="pl-PL"/>
        </w:rPr>
        <w:t>.</w:t>
      </w:r>
      <w:r w:rsidR="00106355" w:rsidRPr="00106355">
        <w:rPr>
          <w:rFonts w:ascii="Arial" w:hAnsi="Arial" w:cs="Arial"/>
          <w:lang w:eastAsia="pl-PL"/>
        </w:rPr>
        <w:t>550</w:t>
      </w:r>
      <w:r w:rsidR="00524024" w:rsidRPr="00106355">
        <w:rPr>
          <w:rFonts w:ascii="Arial" w:hAnsi="Arial" w:cs="Arial"/>
          <w:lang w:eastAsia="pl-PL"/>
        </w:rPr>
        <w:t xml:space="preserve"> zł.</w:t>
      </w:r>
    </w:p>
    <w:p w:rsidR="00524024" w:rsidRPr="00524024" w:rsidRDefault="00524024" w:rsidP="008476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sidRPr="00524024">
        <w:rPr>
          <w:rFonts w:ascii="Arial" w:hAnsi="Arial" w:cs="Arial"/>
          <w:lang w:eastAsia="pl-PL"/>
        </w:rPr>
        <w:t xml:space="preserve">W ramach przedsięwzięć określonych w Załączniku Nr 2 do uchwały w sprawie wieloletniej prognozy finansowej wykazano kwoty wynikające z realizacji zadań inwestycyjnych </w:t>
      </w:r>
      <w:r w:rsidRPr="00524024">
        <w:rPr>
          <w:rFonts w:ascii="Arial" w:hAnsi="Arial" w:cs="Arial"/>
          <w:lang w:eastAsia="pl-PL"/>
        </w:rPr>
        <w:br/>
        <w:t>i bieżących finansowanych ze środków Unii Europejskiej,</w:t>
      </w:r>
      <w:r w:rsidR="00106355">
        <w:rPr>
          <w:rFonts w:ascii="Arial" w:hAnsi="Arial" w:cs="Arial"/>
          <w:lang w:eastAsia="pl-PL"/>
        </w:rPr>
        <w:t xml:space="preserve"> </w:t>
      </w:r>
      <w:r w:rsidR="008F7D29" w:rsidRPr="008F7D29">
        <w:rPr>
          <w:rFonts w:ascii="Arial" w:hAnsi="Arial" w:cs="Arial"/>
          <w:lang w:eastAsia="pl-PL"/>
        </w:rPr>
        <w:t>ze środków Mechanizmu Finansowego Europejskiego Obszaru Gospodarczego 2014-2021/Norweskiego Mechanizmu Finansowego 2014-2021</w:t>
      </w:r>
      <w:r w:rsidR="00606FDD">
        <w:rPr>
          <w:rFonts w:ascii="Arial" w:hAnsi="Arial" w:cs="Arial"/>
          <w:lang w:eastAsia="pl-PL"/>
        </w:rPr>
        <w:t>, ze</w:t>
      </w:r>
      <w:r w:rsidRPr="00524024">
        <w:rPr>
          <w:rFonts w:ascii="Arial" w:hAnsi="Arial" w:cs="Arial"/>
          <w:lang w:eastAsia="pl-PL"/>
        </w:rPr>
        <w:t xml:space="preserve"> środków własnych oraz </w:t>
      </w:r>
      <w:r w:rsidR="00606FDD">
        <w:rPr>
          <w:rFonts w:ascii="Arial" w:hAnsi="Arial" w:cs="Arial"/>
          <w:lang w:eastAsia="pl-PL"/>
        </w:rPr>
        <w:t xml:space="preserve">ze </w:t>
      </w:r>
      <w:r w:rsidRPr="00524024">
        <w:rPr>
          <w:rFonts w:ascii="Arial" w:hAnsi="Arial" w:cs="Arial"/>
          <w:lang w:eastAsia="pl-PL"/>
        </w:rPr>
        <w:t xml:space="preserve">środków </w:t>
      </w:r>
      <w:r w:rsidR="00606FDD">
        <w:rPr>
          <w:rFonts w:ascii="Arial" w:hAnsi="Arial" w:cs="Arial"/>
          <w:lang w:eastAsia="pl-PL"/>
        </w:rPr>
        <w:t xml:space="preserve">budżetu państwa, </w:t>
      </w:r>
      <w:r w:rsidR="00676717">
        <w:rPr>
          <w:rFonts w:ascii="Arial" w:hAnsi="Arial" w:cs="Arial"/>
          <w:lang w:eastAsia="pl-PL"/>
        </w:rPr>
        <w:br/>
      </w:r>
      <w:r w:rsidR="00606FDD">
        <w:rPr>
          <w:rFonts w:ascii="Arial" w:hAnsi="Arial" w:cs="Arial"/>
          <w:lang w:eastAsia="pl-PL"/>
        </w:rPr>
        <w:t>a mianowicie:</w:t>
      </w:r>
    </w:p>
    <w:p w:rsidR="00ED70A0" w:rsidRDefault="00AA284D" w:rsidP="008476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Pr>
          <w:rFonts w:ascii="Arial" w:hAnsi="Arial" w:cs="Arial"/>
          <w:lang w:eastAsia="pl-PL"/>
        </w:rPr>
        <w:t xml:space="preserve">1 </w:t>
      </w:r>
      <w:r w:rsidR="00524024" w:rsidRPr="00524024">
        <w:rPr>
          <w:rFonts w:ascii="Arial" w:hAnsi="Arial" w:cs="Arial"/>
          <w:lang w:eastAsia="pl-PL"/>
        </w:rPr>
        <w:t xml:space="preserve">W ramach programów, projektów lub zadań związanych z programami realizowanymi </w:t>
      </w:r>
      <w:r w:rsidR="00524024" w:rsidRPr="00524024">
        <w:rPr>
          <w:rFonts w:ascii="Arial" w:hAnsi="Arial" w:cs="Arial"/>
          <w:lang w:eastAsia="pl-PL"/>
        </w:rPr>
        <w:br/>
        <w:t xml:space="preserve">z </w:t>
      </w:r>
      <w:r w:rsidR="00524024" w:rsidRPr="00606FDD">
        <w:rPr>
          <w:rFonts w:ascii="Arial" w:hAnsi="Arial" w:cs="Arial"/>
          <w:lang w:eastAsia="pl-PL"/>
        </w:rPr>
        <w:t>udziałem środków unijnych limit wydatków na przedsięwzięcia ogółem w 202</w:t>
      </w:r>
      <w:r w:rsidR="00180972" w:rsidRPr="00606FDD">
        <w:rPr>
          <w:rFonts w:ascii="Arial" w:hAnsi="Arial" w:cs="Arial"/>
          <w:lang w:eastAsia="pl-PL"/>
        </w:rPr>
        <w:t>2</w:t>
      </w:r>
      <w:r w:rsidR="00524024" w:rsidRPr="00606FDD">
        <w:rPr>
          <w:rFonts w:ascii="Arial" w:hAnsi="Arial" w:cs="Arial"/>
          <w:lang w:eastAsia="pl-PL"/>
        </w:rPr>
        <w:t xml:space="preserve"> r. wynosi </w:t>
      </w:r>
    </w:p>
    <w:p w:rsidR="00524024" w:rsidRPr="00524024" w:rsidRDefault="00606FDD" w:rsidP="008476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sidRPr="00606FDD">
        <w:rPr>
          <w:rFonts w:ascii="Arial" w:hAnsi="Arial" w:cs="Arial"/>
          <w:lang w:eastAsia="pl-PL"/>
        </w:rPr>
        <w:lastRenderedPageBreak/>
        <w:t>57.521.183</w:t>
      </w:r>
      <w:r w:rsidR="00524024" w:rsidRPr="00606FDD">
        <w:rPr>
          <w:rFonts w:ascii="Arial" w:hAnsi="Arial" w:cs="Arial"/>
          <w:lang w:eastAsia="pl-PL"/>
        </w:rPr>
        <w:t xml:space="preserve"> zł</w:t>
      </w:r>
      <w:r w:rsidR="004035E9" w:rsidRPr="00606FDD">
        <w:rPr>
          <w:rFonts w:ascii="Arial" w:hAnsi="Arial" w:cs="Arial"/>
          <w:lang w:eastAsia="pl-PL"/>
        </w:rPr>
        <w:t>,</w:t>
      </w:r>
      <w:r w:rsidR="00524024" w:rsidRPr="00606FDD">
        <w:rPr>
          <w:rFonts w:ascii="Arial" w:hAnsi="Arial" w:cs="Arial"/>
          <w:lang w:eastAsia="pl-PL"/>
        </w:rPr>
        <w:t xml:space="preserve"> z czego limit wydatków bieżących wynosi </w:t>
      </w:r>
      <w:r w:rsidRPr="00606FDD">
        <w:rPr>
          <w:rFonts w:ascii="Arial" w:hAnsi="Arial" w:cs="Arial"/>
          <w:lang w:eastAsia="pl-PL"/>
        </w:rPr>
        <w:t>7.639.721</w:t>
      </w:r>
      <w:r w:rsidR="00524024" w:rsidRPr="00606FDD">
        <w:rPr>
          <w:rFonts w:ascii="Arial" w:hAnsi="Arial" w:cs="Arial"/>
          <w:lang w:eastAsia="pl-PL"/>
        </w:rPr>
        <w:t xml:space="preserve"> zł, zaś limit wydatków majątkowych </w:t>
      </w:r>
      <w:r w:rsidRPr="00606FDD">
        <w:rPr>
          <w:rFonts w:ascii="Arial" w:hAnsi="Arial" w:cs="Arial"/>
          <w:lang w:eastAsia="pl-PL"/>
        </w:rPr>
        <w:t>49.881.462</w:t>
      </w:r>
      <w:r w:rsidR="00A430BE" w:rsidRPr="00606FDD">
        <w:rPr>
          <w:rFonts w:ascii="Arial" w:hAnsi="Arial" w:cs="Arial"/>
          <w:lang w:eastAsia="pl-PL"/>
        </w:rPr>
        <w:t xml:space="preserve"> </w:t>
      </w:r>
      <w:r w:rsidR="00524024" w:rsidRPr="00606FDD">
        <w:rPr>
          <w:rFonts w:ascii="Arial" w:hAnsi="Arial" w:cs="Arial"/>
          <w:lang w:eastAsia="pl-PL"/>
        </w:rPr>
        <w:t>zł</w:t>
      </w:r>
      <w:r w:rsidR="001F2722" w:rsidRPr="00606FDD">
        <w:rPr>
          <w:rFonts w:ascii="Arial" w:hAnsi="Arial" w:cs="Arial"/>
          <w:lang w:eastAsia="pl-PL"/>
        </w:rPr>
        <w:t>.</w:t>
      </w:r>
      <w:r w:rsidR="00524024" w:rsidRPr="00EF7EA5">
        <w:rPr>
          <w:rFonts w:ascii="Arial" w:hAnsi="Arial" w:cs="Arial"/>
          <w:lang w:eastAsia="pl-PL"/>
        </w:rPr>
        <w:t xml:space="preserve"> Szczegółowy wykaz programów bieżących i majątkowych przedstawiony jest w załączniku „Wykaz przedsięwzięć do WPF”.</w:t>
      </w: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hAnsi="Arial" w:cs="Arial"/>
          <w:lang w:eastAsia="pl-PL"/>
        </w:rPr>
      </w:pPr>
      <w:r w:rsidRPr="00524024">
        <w:rPr>
          <w:rFonts w:ascii="Arial" w:hAnsi="Arial" w:cs="Arial"/>
          <w:lang w:eastAsia="pl-PL"/>
        </w:rPr>
        <w:t>2 Nie przewidziano do realizacji programów, projektów lub zadań związanych z umowami partnerstwa publiczno-prywatnego.</w:t>
      </w: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hAnsi="Arial" w:cs="Arial"/>
          <w:lang w:eastAsia="pl-PL"/>
        </w:rPr>
      </w:pP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sidRPr="00524024">
        <w:rPr>
          <w:rFonts w:ascii="Arial" w:hAnsi="Arial" w:cs="Arial"/>
          <w:lang w:eastAsia="pl-PL"/>
        </w:rPr>
        <w:t xml:space="preserve">3 W ramach </w:t>
      </w:r>
      <w:r w:rsidRPr="00606FDD">
        <w:rPr>
          <w:rFonts w:ascii="Arial" w:hAnsi="Arial" w:cs="Arial"/>
          <w:lang w:eastAsia="pl-PL"/>
        </w:rPr>
        <w:t>programów, projektów lub zadań pozostałych</w:t>
      </w:r>
      <w:r w:rsidR="00AA284D">
        <w:rPr>
          <w:rFonts w:ascii="Arial" w:hAnsi="Arial" w:cs="Arial"/>
          <w:lang w:eastAsia="pl-PL"/>
        </w:rPr>
        <w:t xml:space="preserve"> innych niż w punkcie 1 i 2.</w:t>
      </w:r>
      <w:r w:rsidRPr="00606FDD">
        <w:rPr>
          <w:rFonts w:ascii="Arial" w:hAnsi="Arial" w:cs="Arial"/>
          <w:lang w:eastAsia="pl-PL"/>
        </w:rPr>
        <w:t xml:space="preserve"> W 202</w:t>
      </w:r>
      <w:r w:rsidR="00252908" w:rsidRPr="00606FDD">
        <w:rPr>
          <w:rFonts w:ascii="Arial" w:hAnsi="Arial" w:cs="Arial"/>
          <w:lang w:eastAsia="pl-PL"/>
        </w:rPr>
        <w:t>2</w:t>
      </w:r>
      <w:r w:rsidRPr="00606FDD">
        <w:rPr>
          <w:rFonts w:ascii="Arial" w:hAnsi="Arial" w:cs="Arial"/>
          <w:lang w:eastAsia="pl-PL"/>
        </w:rPr>
        <w:t>r. lim</w:t>
      </w:r>
      <w:r w:rsidR="00AA284D">
        <w:rPr>
          <w:rFonts w:ascii="Arial" w:hAnsi="Arial" w:cs="Arial"/>
          <w:lang w:eastAsia="pl-PL"/>
        </w:rPr>
        <w:t xml:space="preserve">it przedsięwzięć ogółem wynosi </w:t>
      </w:r>
      <w:r w:rsidR="00606FDD" w:rsidRPr="00606FDD">
        <w:rPr>
          <w:rFonts w:ascii="Arial" w:hAnsi="Arial" w:cs="Arial"/>
          <w:lang w:eastAsia="pl-PL"/>
        </w:rPr>
        <w:t>54.483.273</w:t>
      </w:r>
      <w:r w:rsidRPr="00606FDD">
        <w:rPr>
          <w:rFonts w:ascii="Arial" w:hAnsi="Arial" w:cs="Arial"/>
          <w:lang w:eastAsia="pl-PL"/>
        </w:rPr>
        <w:t xml:space="preserve"> zł</w:t>
      </w:r>
      <w:r w:rsidR="004035E9" w:rsidRPr="00606FDD">
        <w:rPr>
          <w:rFonts w:ascii="Arial" w:hAnsi="Arial" w:cs="Arial"/>
          <w:lang w:eastAsia="pl-PL"/>
        </w:rPr>
        <w:t>,</w:t>
      </w:r>
      <w:r w:rsidRPr="00606FDD">
        <w:rPr>
          <w:rFonts w:ascii="Arial" w:hAnsi="Arial" w:cs="Arial"/>
          <w:lang w:eastAsia="pl-PL"/>
        </w:rPr>
        <w:t xml:space="preserve"> z czego limit wydatków bieżących wynosi  </w:t>
      </w:r>
      <w:r w:rsidR="00606FDD" w:rsidRPr="00606FDD">
        <w:rPr>
          <w:rFonts w:ascii="Arial" w:hAnsi="Arial" w:cs="Arial"/>
          <w:lang w:eastAsia="pl-PL"/>
        </w:rPr>
        <w:t>13.408.185</w:t>
      </w:r>
      <w:r w:rsidRPr="00606FDD">
        <w:rPr>
          <w:rFonts w:ascii="Arial" w:hAnsi="Arial" w:cs="Arial"/>
          <w:lang w:eastAsia="pl-PL"/>
        </w:rPr>
        <w:t xml:space="preserve"> z</w:t>
      </w:r>
      <w:r w:rsidR="001F2722" w:rsidRPr="00606FDD">
        <w:rPr>
          <w:rFonts w:ascii="Arial" w:hAnsi="Arial" w:cs="Arial"/>
          <w:lang w:eastAsia="pl-PL"/>
        </w:rPr>
        <w:t>ł</w:t>
      </w:r>
      <w:r w:rsidRPr="00606FDD">
        <w:rPr>
          <w:rFonts w:ascii="Arial" w:hAnsi="Arial" w:cs="Arial"/>
          <w:lang w:eastAsia="pl-PL"/>
        </w:rPr>
        <w:t>, zaś limit wydatków majątkowych</w:t>
      </w:r>
      <w:r w:rsidR="00606FDD" w:rsidRPr="00606FDD">
        <w:rPr>
          <w:rFonts w:ascii="Arial" w:hAnsi="Arial" w:cs="Arial"/>
          <w:lang w:eastAsia="pl-PL"/>
        </w:rPr>
        <w:t xml:space="preserve"> 41.075.088</w:t>
      </w:r>
      <w:r w:rsidRPr="00606FDD">
        <w:rPr>
          <w:rFonts w:ascii="Arial" w:hAnsi="Arial" w:cs="Arial"/>
          <w:lang w:eastAsia="pl-PL"/>
        </w:rPr>
        <w:t xml:space="preserve"> zł. Szczegółowy wykaz programów bieżących i majątkowych przedstawiony jest w załączniku „Wykaz</w:t>
      </w:r>
      <w:r w:rsidRPr="00524024">
        <w:rPr>
          <w:rFonts w:ascii="Arial" w:hAnsi="Arial" w:cs="Arial"/>
          <w:lang w:eastAsia="pl-PL"/>
        </w:rPr>
        <w:t xml:space="preserve"> przedsięwzięć do WPF”.</w:t>
      </w: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sidRPr="00524024">
        <w:rPr>
          <w:rFonts w:ascii="Arial" w:hAnsi="Arial" w:cs="Arial"/>
          <w:lang w:eastAsia="pl-PL"/>
        </w:rPr>
        <w:t xml:space="preserve">Jak wskazano powyżej Wieloletnia Prognoza Finansowa została sporządzona przy założeniu planowania dochodów na bezpiecznym poziomie możliwym do uzyskania. Wydatki głównie bieżące planowano przy założeniu utrzymania ich na stabilnym poziomie, z kontynuacją działań zmierzających do ich racjonalizacji. </w:t>
      </w:r>
    </w:p>
    <w:p w:rsidR="00524024" w:rsidRPr="00524024" w:rsidRDefault="00524024" w:rsidP="00524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hAnsi="Arial" w:cs="Arial"/>
          <w:lang w:eastAsia="pl-PL"/>
        </w:rPr>
      </w:pPr>
      <w:r w:rsidRPr="00524024">
        <w:rPr>
          <w:rFonts w:ascii="Arial" w:hAnsi="Arial" w:cs="Arial"/>
          <w:lang w:eastAsia="pl-PL"/>
        </w:rPr>
        <w:t>Szczegółowe informacje zawierają załączniki nr 1 i 2 do niniejszej uchwały oraz załączniki do Uchwały w sprawie uchwalenia budżetu Miasta Łomża na 202</w:t>
      </w:r>
      <w:r w:rsidR="00252908">
        <w:rPr>
          <w:rFonts w:ascii="Arial" w:hAnsi="Arial" w:cs="Arial"/>
          <w:lang w:eastAsia="pl-PL"/>
        </w:rPr>
        <w:t>2</w:t>
      </w:r>
      <w:r w:rsidRPr="00524024">
        <w:rPr>
          <w:rFonts w:ascii="Arial" w:hAnsi="Arial" w:cs="Arial"/>
          <w:lang w:eastAsia="pl-PL"/>
        </w:rPr>
        <w:t xml:space="preserve"> rok.</w:t>
      </w:r>
    </w:p>
    <w:p w:rsidR="00524024" w:rsidRDefault="00524024" w:rsidP="00524024">
      <w:pPr>
        <w:widowControl w:val="0"/>
        <w:autoSpaceDE w:val="0"/>
        <w:autoSpaceDN w:val="0"/>
        <w:adjustRightInd w:val="0"/>
        <w:spacing w:after="0" w:line="240" w:lineRule="auto"/>
        <w:rPr>
          <w:rFonts w:ascii="Arial" w:hAnsi="Arial" w:cs="Arial"/>
          <w:lang w:eastAsia="pl-PL"/>
        </w:rPr>
      </w:pPr>
    </w:p>
    <w:sectPr w:rsidR="00524024" w:rsidSect="00DF2B8A">
      <w:pgSz w:w="11906" w:h="16838"/>
      <w:pgMar w:top="1417" w:right="1417" w:bottom="1417" w:left="1417"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F12" w:rsidRDefault="00EC4F12" w:rsidP="002C482E">
      <w:pPr>
        <w:spacing w:after="0" w:line="240" w:lineRule="auto"/>
      </w:pPr>
      <w:r>
        <w:separator/>
      </w:r>
    </w:p>
  </w:endnote>
  <w:endnote w:type="continuationSeparator" w:id="0">
    <w:p w:rsidR="00EC4F12" w:rsidRDefault="00EC4F12" w:rsidP="002C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F12" w:rsidRDefault="00EC4F12" w:rsidP="002C482E">
      <w:pPr>
        <w:spacing w:after="0" w:line="240" w:lineRule="auto"/>
      </w:pPr>
      <w:r>
        <w:separator/>
      </w:r>
    </w:p>
  </w:footnote>
  <w:footnote w:type="continuationSeparator" w:id="0">
    <w:p w:rsidR="00EC4F12" w:rsidRDefault="00EC4F12" w:rsidP="002C48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70A4"/>
    <w:multiLevelType w:val="hybridMultilevel"/>
    <w:tmpl w:val="12E42E24"/>
    <w:lvl w:ilvl="0" w:tplc="A4EEE6F2">
      <w:start w:val="1"/>
      <w:numFmt w:val="bullet"/>
      <w:lvlText w:val=""/>
      <w:lvlJc w:val="left"/>
      <w:pPr>
        <w:tabs>
          <w:tab w:val="num" w:pos="720"/>
        </w:tabs>
        <w:ind w:left="720" w:hanging="360"/>
      </w:pPr>
      <w:rPr>
        <w:rFonts w:ascii="Wingdings 3" w:hAnsi="Wingdings 3" w:hint="default"/>
      </w:rPr>
    </w:lvl>
    <w:lvl w:ilvl="1" w:tplc="7AB28060" w:tentative="1">
      <w:start w:val="1"/>
      <w:numFmt w:val="bullet"/>
      <w:lvlText w:val=""/>
      <w:lvlJc w:val="left"/>
      <w:pPr>
        <w:tabs>
          <w:tab w:val="num" w:pos="1440"/>
        </w:tabs>
        <w:ind w:left="1440" w:hanging="360"/>
      </w:pPr>
      <w:rPr>
        <w:rFonts w:ascii="Wingdings 3" w:hAnsi="Wingdings 3" w:hint="default"/>
      </w:rPr>
    </w:lvl>
    <w:lvl w:ilvl="2" w:tplc="5E2650F6" w:tentative="1">
      <w:start w:val="1"/>
      <w:numFmt w:val="bullet"/>
      <w:lvlText w:val=""/>
      <w:lvlJc w:val="left"/>
      <w:pPr>
        <w:tabs>
          <w:tab w:val="num" w:pos="2160"/>
        </w:tabs>
        <w:ind w:left="2160" w:hanging="360"/>
      </w:pPr>
      <w:rPr>
        <w:rFonts w:ascii="Wingdings 3" w:hAnsi="Wingdings 3" w:hint="default"/>
      </w:rPr>
    </w:lvl>
    <w:lvl w:ilvl="3" w:tplc="5E4CFEBC" w:tentative="1">
      <w:start w:val="1"/>
      <w:numFmt w:val="bullet"/>
      <w:lvlText w:val=""/>
      <w:lvlJc w:val="left"/>
      <w:pPr>
        <w:tabs>
          <w:tab w:val="num" w:pos="2880"/>
        </w:tabs>
        <w:ind w:left="2880" w:hanging="360"/>
      </w:pPr>
      <w:rPr>
        <w:rFonts w:ascii="Wingdings 3" w:hAnsi="Wingdings 3" w:hint="default"/>
      </w:rPr>
    </w:lvl>
    <w:lvl w:ilvl="4" w:tplc="346EB190" w:tentative="1">
      <w:start w:val="1"/>
      <w:numFmt w:val="bullet"/>
      <w:lvlText w:val=""/>
      <w:lvlJc w:val="left"/>
      <w:pPr>
        <w:tabs>
          <w:tab w:val="num" w:pos="3600"/>
        </w:tabs>
        <w:ind w:left="3600" w:hanging="360"/>
      </w:pPr>
      <w:rPr>
        <w:rFonts w:ascii="Wingdings 3" w:hAnsi="Wingdings 3" w:hint="default"/>
      </w:rPr>
    </w:lvl>
    <w:lvl w:ilvl="5" w:tplc="81422EF4" w:tentative="1">
      <w:start w:val="1"/>
      <w:numFmt w:val="bullet"/>
      <w:lvlText w:val=""/>
      <w:lvlJc w:val="left"/>
      <w:pPr>
        <w:tabs>
          <w:tab w:val="num" w:pos="4320"/>
        </w:tabs>
        <w:ind w:left="4320" w:hanging="360"/>
      </w:pPr>
      <w:rPr>
        <w:rFonts w:ascii="Wingdings 3" w:hAnsi="Wingdings 3" w:hint="default"/>
      </w:rPr>
    </w:lvl>
    <w:lvl w:ilvl="6" w:tplc="8BCECA0E" w:tentative="1">
      <w:start w:val="1"/>
      <w:numFmt w:val="bullet"/>
      <w:lvlText w:val=""/>
      <w:lvlJc w:val="left"/>
      <w:pPr>
        <w:tabs>
          <w:tab w:val="num" w:pos="5040"/>
        </w:tabs>
        <w:ind w:left="5040" w:hanging="360"/>
      </w:pPr>
      <w:rPr>
        <w:rFonts w:ascii="Wingdings 3" w:hAnsi="Wingdings 3" w:hint="default"/>
      </w:rPr>
    </w:lvl>
    <w:lvl w:ilvl="7" w:tplc="01DA5782" w:tentative="1">
      <w:start w:val="1"/>
      <w:numFmt w:val="bullet"/>
      <w:lvlText w:val=""/>
      <w:lvlJc w:val="left"/>
      <w:pPr>
        <w:tabs>
          <w:tab w:val="num" w:pos="5760"/>
        </w:tabs>
        <w:ind w:left="5760" w:hanging="360"/>
      </w:pPr>
      <w:rPr>
        <w:rFonts w:ascii="Wingdings 3" w:hAnsi="Wingdings 3" w:hint="default"/>
      </w:rPr>
    </w:lvl>
    <w:lvl w:ilvl="8" w:tplc="ADAE664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27A341BD"/>
    <w:multiLevelType w:val="hybridMultilevel"/>
    <w:tmpl w:val="7EE8EABE"/>
    <w:lvl w:ilvl="0" w:tplc="25D246FC">
      <w:start w:val="1"/>
      <w:numFmt w:val="bullet"/>
      <w:lvlText w:val=""/>
      <w:lvlJc w:val="left"/>
      <w:pPr>
        <w:tabs>
          <w:tab w:val="num" w:pos="720"/>
        </w:tabs>
        <w:ind w:left="720" w:hanging="360"/>
      </w:pPr>
      <w:rPr>
        <w:rFonts w:ascii="Wingdings 3" w:hAnsi="Wingdings 3" w:hint="default"/>
      </w:rPr>
    </w:lvl>
    <w:lvl w:ilvl="1" w:tplc="9056AACC" w:tentative="1">
      <w:start w:val="1"/>
      <w:numFmt w:val="bullet"/>
      <w:lvlText w:val=""/>
      <w:lvlJc w:val="left"/>
      <w:pPr>
        <w:tabs>
          <w:tab w:val="num" w:pos="1440"/>
        </w:tabs>
        <w:ind w:left="1440" w:hanging="360"/>
      </w:pPr>
      <w:rPr>
        <w:rFonts w:ascii="Wingdings 3" w:hAnsi="Wingdings 3" w:hint="default"/>
      </w:rPr>
    </w:lvl>
    <w:lvl w:ilvl="2" w:tplc="EC8A010E" w:tentative="1">
      <w:start w:val="1"/>
      <w:numFmt w:val="bullet"/>
      <w:lvlText w:val=""/>
      <w:lvlJc w:val="left"/>
      <w:pPr>
        <w:tabs>
          <w:tab w:val="num" w:pos="2160"/>
        </w:tabs>
        <w:ind w:left="2160" w:hanging="360"/>
      </w:pPr>
      <w:rPr>
        <w:rFonts w:ascii="Wingdings 3" w:hAnsi="Wingdings 3" w:hint="default"/>
      </w:rPr>
    </w:lvl>
    <w:lvl w:ilvl="3" w:tplc="F3BC2F2A" w:tentative="1">
      <w:start w:val="1"/>
      <w:numFmt w:val="bullet"/>
      <w:lvlText w:val=""/>
      <w:lvlJc w:val="left"/>
      <w:pPr>
        <w:tabs>
          <w:tab w:val="num" w:pos="2880"/>
        </w:tabs>
        <w:ind w:left="2880" w:hanging="360"/>
      </w:pPr>
      <w:rPr>
        <w:rFonts w:ascii="Wingdings 3" w:hAnsi="Wingdings 3" w:hint="default"/>
      </w:rPr>
    </w:lvl>
    <w:lvl w:ilvl="4" w:tplc="B600C9CE" w:tentative="1">
      <w:start w:val="1"/>
      <w:numFmt w:val="bullet"/>
      <w:lvlText w:val=""/>
      <w:lvlJc w:val="left"/>
      <w:pPr>
        <w:tabs>
          <w:tab w:val="num" w:pos="3600"/>
        </w:tabs>
        <w:ind w:left="3600" w:hanging="360"/>
      </w:pPr>
      <w:rPr>
        <w:rFonts w:ascii="Wingdings 3" w:hAnsi="Wingdings 3" w:hint="default"/>
      </w:rPr>
    </w:lvl>
    <w:lvl w:ilvl="5" w:tplc="598CCFB6" w:tentative="1">
      <w:start w:val="1"/>
      <w:numFmt w:val="bullet"/>
      <w:lvlText w:val=""/>
      <w:lvlJc w:val="left"/>
      <w:pPr>
        <w:tabs>
          <w:tab w:val="num" w:pos="4320"/>
        </w:tabs>
        <w:ind w:left="4320" w:hanging="360"/>
      </w:pPr>
      <w:rPr>
        <w:rFonts w:ascii="Wingdings 3" w:hAnsi="Wingdings 3" w:hint="default"/>
      </w:rPr>
    </w:lvl>
    <w:lvl w:ilvl="6" w:tplc="2DCA0D9E" w:tentative="1">
      <w:start w:val="1"/>
      <w:numFmt w:val="bullet"/>
      <w:lvlText w:val=""/>
      <w:lvlJc w:val="left"/>
      <w:pPr>
        <w:tabs>
          <w:tab w:val="num" w:pos="5040"/>
        </w:tabs>
        <w:ind w:left="5040" w:hanging="360"/>
      </w:pPr>
      <w:rPr>
        <w:rFonts w:ascii="Wingdings 3" w:hAnsi="Wingdings 3" w:hint="default"/>
      </w:rPr>
    </w:lvl>
    <w:lvl w:ilvl="7" w:tplc="E77AF724" w:tentative="1">
      <w:start w:val="1"/>
      <w:numFmt w:val="bullet"/>
      <w:lvlText w:val=""/>
      <w:lvlJc w:val="left"/>
      <w:pPr>
        <w:tabs>
          <w:tab w:val="num" w:pos="5760"/>
        </w:tabs>
        <w:ind w:left="5760" w:hanging="360"/>
      </w:pPr>
      <w:rPr>
        <w:rFonts w:ascii="Wingdings 3" w:hAnsi="Wingdings 3" w:hint="default"/>
      </w:rPr>
    </w:lvl>
    <w:lvl w:ilvl="8" w:tplc="B9BACC9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D4A1E70"/>
    <w:multiLevelType w:val="hybridMultilevel"/>
    <w:tmpl w:val="24D43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C704255"/>
    <w:multiLevelType w:val="hybridMultilevel"/>
    <w:tmpl w:val="F1F4C258"/>
    <w:lvl w:ilvl="0" w:tplc="44FE187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35"/>
    <w:rsid w:val="00000D66"/>
    <w:rsid w:val="00013DFE"/>
    <w:rsid w:val="00017FA3"/>
    <w:rsid w:val="00023FE7"/>
    <w:rsid w:val="00030A15"/>
    <w:rsid w:val="000310BF"/>
    <w:rsid w:val="00031A67"/>
    <w:rsid w:val="00032486"/>
    <w:rsid w:val="00032C00"/>
    <w:rsid w:val="00043FDA"/>
    <w:rsid w:val="00052A6F"/>
    <w:rsid w:val="00055E97"/>
    <w:rsid w:val="00066856"/>
    <w:rsid w:val="00071BBF"/>
    <w:rsid w:val="00071FF0"/>
    <w:rsid w:val="0008004E"/>
    <w:rsid w:val="000831B7"/>
    <w:rsid w:val="00083AA5"/>
    <w:rsid w:val="000919C1"/>
    <w:rsid w:val="00091ABA"/>
    <w:rsid w:val="00094B41"/>
    <w:rsid w:val="00095C79"/>
    <w:rsid w:val="000972AA"/>
    <w:rsid w:val="000A2CC6"/>
    <w:rsid w:val="000A2F0D"/>
    <w:rsid w:val="000A3D1D"/>
    <w:rsid w:val="000A6203"/>
    <w:rsid w:val="000C1B90"/>
    <w:rsid w:val="000D53BA"/>
    <w:rsid w:val="000D7E51"/>
    <w:rsid w:val="000E1C05"/>
    <w:rsid w:val="000F78EE"/>
    <w:rsid w:val="00105789"/>
    <w:rsid w:val="00106355"/>
    <w:rsid w:val="00106604"/>
    <w:rsid w:val="0011015A"/>
    <w:rsid w:val="001171E2"/>
    <w:rsid w:val="00117C3F"/>
    <w:rsid w:val="00123F90"/>
    <w:rsid w:val="00124AEC"/>
    <w:rsid w:val="0012511B"/>
    <w:rsid w:val="0014172E"/>
    <w:rsid w:val="00143010"/>
    <w:rsid w:val="00155F85"/>
    <w:rsid w:val="00162DFF"/>
    <w:rsid w:val="00174751"/>
    <w:rsid w:val="00180972"/>
    <w:rsid w:val="001872B8"/>
    <w:rsid w:val="00197095"/>
    <w:rsid w:val="001A480A"/>
    <w:rsid w:val="001A753B"/>
    <w:rsid w:val="001B3520"/>
    <w:rsid w:val="001B5EAF"/>
    <w:rsid w:val="001B7C09"/>
    <w:rsid w:val="001D1596"/>
    <w:rsid w:val="001D2678"/>
    <w:rsid w:val="001E6A50"/>
    <w:rsid w:val="001F2722"/>
    <w:rsid w:val="001F436F"/>
    <w:rsid w:val="001F7DD5"/>
    <w:rsid w:val="00201A53"/>
    <w:rsid w:val="00210FF8"/>
    <w:rsid w:val="002145AD"/>
    <w:rsid w:val="00222556"/>
    <w:rsid w:val="00222F1F"/>
    <w:rsid w:val="00224BEE"/>
    <w:rsid w:val="00226C5F"/>
    <w:rsid w:val="00235734"/>
    <w:rsid w:val="002403B8"/>
    <w:rsid w:val="00244531"/>
    <w:rsid w:val="00246C3A"/>
    <w:rsid w:val="00247236"/>
    <w:rsid w:val="00252908"/>
    <w:rsid w:val="00261119"/>
    <w:rsid w:val="0026340B"/>
    <w:rsid w:val="002659B5"/>
    <w:rsid w:val="00270CB7"/>
    <w:rsid w:val="00272A6B"/>
    <w:rsid w:val="00284A17"/>
    <w:rsid w:val="002863E8"/>
    <w:rsid w:val="002956A9"/>
    <w:rsid w:val="002976F6"/>
    <w:rsid w:val="002A44C4"/>
    <w:rsid w:val="002B3FAD"/>
    <w:rsid w:val="002C0BA3"/>
    <w:rsid w:val="002C482E"/>
    <w:rsid w:val="002F15A2"/>
    <w:rsid w:val="002F59AC"/>
    <w:rsid w:val="00302A6B"/>
    <w:rsid w:val="00303DB1"/>
    <w:rsid w:val="00307715"/>
    <w:rsid w:val="00320354"/>
    <w:rsid w:val="00342CF4"/>
    <w:rsid w:val="00343DD4"/>
    <w:rsid w:val="0034428F"/>
    <w:rsid w:val="00347FBE"/>
    <w:rsid w:val="003500B2"/>
    <w:rsid w:val="003609F3"/>
    <w:rsid w:val="003825A1"/>
    <w:rsid w:val="0039791F"/>
    <w:rsid w:val="003A42CD"/>
    <w:rsid w:val="003B40D0"/>
    <w:rsid w:val="003B4611"/>
    <w:rsid w:val="003C669D"/>
    <w:rsid w:val="003D018A"/>
    <w:rsid w:val="003D370B"/>
    <w:rsid w:val="003D511C"/>
    <w:rsid w:val="003F6995"/>
    <w:rsid w:val="004020C1"/>
    <w:rsid w:val="004035E9"/>
    <w:rsid w:val="00410E16"/>
    <w:rsid w:val="0042393F"/>
    <w:rsid w:val="00425427"/>
    <w:rsid w:val="00431C9F"/>
    <w:rsid w:val="00434209"/>
    <w:rsid w:val="00440356"/>
    <w:rsid w:val="00447A84"/>
    <w:rsid w:val="00460391"/>
    <w:rsid w:val="0046552D"/>
    <w:rsid w:val="0047172E"/>
    <w:rsid w:val="0048329D"/>
    <w:rsid w:val="0049183A"/>
    <w:rsid w:val="00491E5E"/>
    <w:rsid w:val="004A04B9"/>
    <w:rsid w:val="004A1560"/>
    <w:rsid w:val="004A635D"/>
    <w:rsid w:val="004A6FCC"/>
    <w:rsid w:val="004A7483"/>
    <w:rsid w:val="004B6235"/>
    <w:rsid w:val="004B7713"/>
    <w:rsid w:val="004C19D2"/>
    <w:rsid w:val="004C4506"/>
    <w:rsid w:val="004C5BA1"/>
    <w:rsid w:val="004C5DC3"/>
    <w:rsid w:val="004D31D9"/>
    <w:rsid w:val="004E79B7"/>
    <w:rsid w:val="0050639C"/>
    <w:rsid w:val="00512A13"/>
    <w:rsid w:val="005227E5"/>
    <w:rsid w:val="00524024"/>
    <w:rsid w:val="00527B07"/>
    <w:rsid w:val="00562B15"/>
    <w:rsid w:val="00564E7F"/>
    <w:rsid w:val="005674A8"/>
    <w:rsid w:val="00571896"/>
    <w:rsid w:val="0057323D"/>
    <w:rsid w:val="00574DA9"/>
    <w:rsid w:val="0058079A"/>
    <w:rsid w:val="005860CC"/>
    <w:rsid w:val="005942FD"/>
    <w:rsid w:val="005A75E8"/>
    <w:rsid w:val="005B4254"/>
    <w:rsid w:val="005C1E14"/>
    <w:rsid w:val="005C4333"/>
    <w:rsid w:val="005C52C0"/>
    <w:rsid w:val="005C7966"/>
    <w:rsid w:val="005E3AC8"/>
    <w:rsid w:val="005E440D"/>
    <w:rsid w:val="005F7078"/>
    <w:rsid w:val="0060422E"/>
    <w:rsid w:val="00606FDD"/>
    <w:rsid w:val="00624956"/>
    <w:rsid w:val="00626E80"/>
    <w:rsid w:val="00632DAB"/>
    <w:rsid w:val="00633ACA"/>
    <w:rsid w:val="0064162D"/>
    <w:rsid w:val="006428CB"/>
    <w:rsid w:val="006476D4"/>
    <w:rsid w:val="0065036A"/>
    <w:rsid w:val="006513DF"/>
    <w:rsid w:val="006538CF"/>
    <w:rsid w:val="006552C1"/>
    <w:rsid w:val="00657E9A"/>
    <w:rsid w:val="006647A1"/>
    <w:rsid w:val="00676717"/>
    <w:rsid w:val="006867DB"/>
    <w:rsid w:val="00696C68"/>
    <w:rsid w:val="006A3DE4"/>
    <w:rsid w:val="006B3CAF"/>
    <w:rsid w:val="006B41FE"/>
    <w:rsid w:val="006B4DEB"/>
    <w:rsid w:val="006B7C05"/>
    <w:rsid w:val="006D4F30"/>
    <w:rsid w:val="006D713E"/>
    <w:rsid w:val="006E0B8A"/>
    <w:rsid w:val="006E23AA"/>
    <w:rsid w:val="006E5BA0"/>
    <w:rsid w:val="006F3A5C"/>
    <w:rsid w:val="006F3EF6"/>
    <w:rsid w:val="006F4DCE"/>
    <w:rsid w:val="006F7D35"/>
    <w:rsid w:val="006F7DB3"/>
    <w:rsid w:val="007014FA"/>
    <w:rsid w:val="007042E4"/>
    <w:rsid w:val="00710C77"/>
    <w:rsid w:val="007263E5"/>
    <w:rsid w:val="00726829"/>
    <w:rsid w:val="00727A89"/>
    <w:rsid w:val="00742216"/>
    <w:rsid w:val="00746320"/>
    <w:rsid w:val="0075663A"/>
    <w:rsid w:val="00774A3A"/>
    <w:rsid w:val="00775C34"/>
    <w:rsid w:val="00776E89"/>
    <w:rsid w:val="007872E2"/>
    <w:rsid w:val="007917EA"/>
    <w:rsid w:val="00797C70"/>
    <w:rsid w:val="007A4DA7"/>
    <w:rsid w:val="007A60E9"/>
    <w:rsid w:val="007B46EA"/>
    <w:rsid w:val="007C374A"/>
    <w:rsid w:val="007D34B6"/>
    <w:rsid w:val="007F1AF5"/>
    <w:rsid w:val="00802972"/>
    <w:rsid w:val="008033D6"/>
    <w:rsid w:val="008034C5"/>
    <w:rsid w:val="00811154"/>
    <w:rsid w:val="0081169D"/>
    <w:rsid w:val="00812D5D"/>
    <w:rsid w:val="0082569F"/>
    <w:rsid w:val="00831351"/>
    <w:rsid w:val="00836217"/>
    <w:rsid w:val="00842838"/>
    <w:rsid w:val="00844A60"/>
    <w:rsid w:val="00847190"/>
    <w:rsid w:val="0084760A"/>
    <w:rsid w:val="0085071D"/>
    <w:rsid w:val="0086111A"/>
    <w:rsid w:val="00863F2B"/>
    <w:rsid w:val="00867EA8"/>
    <w:rsid w:val="0087180B"/>
    <w:rsid w:val="00891D34"/>
    <w:rsid w:val="0089529B"/>
    <w:rsid w:val="00896E42"/>
    <w:rsid w:val="008A3369"/>
    <w:rsid w:val="008A4335"/>
    <w:rsid w:val="008A5323"/>
    <w:rsid w:val="008B064D"/>
    <w:rsid w:val="008C0632"/>
    <w:rsid w:val="008E234B"/>
    <w:rsid w:val="008F1072"/>
    <w:rsid w:val="008F14EE"/>
    <w:rsid w:val="008F7D29"/>
    <w:rsid w:val="0091282C"/>
    <w:rsid w:val="0091615B"/>
    <w:rsid w:val="0091771D"/>
    <w:rsid w:val="00917E82"/>
    <w:rsid w:val="00923522"/>
    <w:rsid w:val="00926279"/>
    <w:rsid w:val="009279B9"/>
    <w:rsid w:val="00952F0A"/>
    <w:rsid w:val="00957D6C"/>
    <w:rsid w:val="00964D4B"/>
    <w:rsid w:val="009654D5"/>
    <w:rsid w:val="00966AA3"/>
    <w:rsid w:val="0097021D"/>
    <w:rsid w:val="00970B1B"/>
    <w:rsid w:val="00991978"/>
    <w:rsid w:val="00993411"/>
    <w:rsid w:val="009A3648"/>
    <w:rsid w:val="009B1C17"/>
    <w:rsid w:val="009B4726"/>
    <w:rsid w:val="009C6CA8"/>
    <w:rsid w:val="009C6E05"/>
    <w:rsid w:val="009C7168"/>
    <w:rsid w:val="009D3AE0"/>
    <w:rsid w:val="009D58DE"/>
    <w:rsid w:val="009D5B7A"/>
    <w:rsid w:val="009D7873"/>
    <w:rsid w:val="009F2308"/>
    <w:rsid w:val="009F7F9E"/>
    <w:rsid w:val="00A0715E"/>
    <w:rsid w:val="00A0787B"/>
    <w:rsid w:val="00A1762C"/>
    <w:rsid w:val="00A203D5"/>
    <w:rsid w:val="00A369DB"/>
    <w:rsid w:val="00A41C40"/>
    <w:rsid w:val="00A430BE"/>
    <w:rsid w:val="00A46E75"/>
    <w:rsid w:val="00A51B67"/>
    <w:rsid w:val="00A67240"/>
    <w:rsid w:val="00A763C0"/>
    <w:rsid w:val="00A96152"/>
    <w:rsid w:val="00AA12C3"/>
    <w:rsid w:val="00AA284D"/>
    <w:rsid w:val="00AB0E45"/>
    <w:rsid w:val="00AB7AE5"/>
    <w:rsid w:val="00AC7B99"/>
    <w:rsid w:val="00AD2B98"/>
    <w:rsid w:val="00AD53F7"/>
    <w:rsid w:val="00AE6ACD"/>
    <w:rsid w:val="00AF19F5"/>
    <w:rsid w:val="00AF3604"/>
    <w:rsid w:val="00AF5A3A"/>
    <w:rsid w:val="00B0377C"/>
    <w:rsid w:val="00B058A4"/>
    <w:rsid w:val="00B117F5"/>
    <w:rsid w:val="00B234B8"/>
    <w:rsid w:val="00B36A99"/>
    <w:rsid w:val="00B42500"/>
    <w:rsid w:val="00B43E88"/>
    <w:rsid w:val="00B64F5E"/>
    <w:rsid w:val="00B6580E"/>
    <w:rsid w:val="00B65A72"/>
    <w:rsid w:val="00B7302A"/>
    <w:rsid w:val="00B73C54"/>
    <w:rsid w:val="00B76C11"/>
    <w:rsid w:val="00B829CF"/>
    <w:rsid w:val="00BC6010"/>
    <w:rsid w:val="00BD438F"/>
    <w:rsid w:val="00BD5DBF"/>
    <w:rsid w:val="00BD7EDA"/>
    <w:rsid w:val="00BE1B15"/>
    <w:rsid w:val="00BF0E69"/>
    <w:rsid w:val="00BF1B44"/>
    <w:rsid w:val="00BF29CE"/>
    <w:rsid w:val="00C04BE9"/>
    <w:rsid w:val="00C051AF"/>
    <w:rsid w:val="00C1287F"/>
    <w:rsid w:val="00C1599B"/>
    <w:rsid w:val="00C15F31"/>
    <w:rsid w:val="00C16736"/>
    <w:rsid w:val="00C2000D"/>
    <w:rsid w:val="00C2291C"/>
    <w:rsid w:val="00C31C11"/>
    <w:rsid w:val="00C32EAC"/>
    <w:rsid w:val="00C330E9"/>
    <w:rsid w:val="00C54EA8"/>
    <w:rsid w:val="00C57BEF"/>
    <w:rsid w:val="00C67BC3"/>
    <w:rsid w:val="00C92F96"/>
    <w:rsid w:val="00C93B7B"/>
    <w:rsid w:val="00C9774D"/>
    <w:rsid w:val="00C97D18"/>
    <w:rsid w:val="00CA6635"/>
    <w:rsid w:val="00CB0BF4"/>
    <w:rsid w:val="00CB19C7"/>
    <w:rsid w:val="00CD0B33"/>
    <w:rsid w:val="00CD56B1"/>
    <w:rsid w:val="00CE17C6"/>
    <w:rsid w:val="00CE26AD"/>
    <w:rsid w:val="00CF1526"/>
    <w:rsid w:val="00D00028"/>
    <w:rsid w:val="00D10A0D"/>
    <w:rsid w:val="00D222A0"/>
    <w:rsid w:val="00D22EB7"/>
    <w:rsid w:val="00D359DA"/>
    <w:rsid w:val="00D51EBE"/>
    <w:rsid w:val="00D524F1"/>
    <w:rsid w:val="00D52532"/>
    <w:rsid w:val="00D5294D"/>
    <w:rsid w:val="00D53E82"/>
    <w:rsid w:val="00D64F97"/>
    <w:rsid w:val="00D66330"/>
    <w:rsid w:val="00D66C08"/>
    <w:rsid w:val="00D67191"/>
    <w:rsid w:val="00D7101D"/>
    <w:rsid w:val="00D82A5F"/>
    <w:rsid w:val="00D87040"/>
    <w:rsid w:val="00D90C22"/>
    <w:rsid w:val="00DA1727"/>
    <w:rsid w:val="00DA69BF"/>
    <w:rsid w:val="00DC0CE6"/>
    <w:rsid w:val="00DC19F0"/>
    <w:rsid w:val="00DC28E0"/>
    <w:rsid w:val="00DD4E60"/>
    <w:rsid w:val="00DD75C4"/>
    <w:rsid w:val="00DE33D5"/>
    <w:rsid w:val="00DF064B"/>
    <w:rsid w:val="00DF2B8A"/>
    <w:rsid w:val="00E0312E"/>
    <w:rsid w:val="00E052F8"/>
    <w:rsid w:val="00E07B34"/>
    <w:rsid w:val="00E11986"/>
    <w:rsid w:val="00E33665"/>
    <w:rsid w:val="00E37691"/>
    <w:rsid w:val="00E47F22"/>
    <w:rsid w:val="00E56F74"/>
    <w:rsid w:val="00E70799"/>
    <w:rsid w:val="00E853B7"/>
    <w:rsid w:val="00E917F8"/>
    <w:rsid w:val="00EB021F"/>
    <w:rsid w:val="00EB47D2"/>
    <w:rsid w:val="00EB6B14"/>
    <w:rsid w:val="00EC4F12"/>
    <w:rsid w:val="00ED22EA"/>
    <w:rsid w:val="00ED5675"/>
    <w:rsid w:val="00ED70A0"/>
    <w:rsid w:val="00ED75AF"/>
    <w:rsid w:val="00EE1AC9"/>
    <w:rsid w:val="00EE22C5"/>
    <w:rsid w:val="00EF2687"/>
    <w:rsid w:val="00EF7EA5"/>
    <w:rsid w:val="00F046D0"/>
    <w:rsid w:val="00F0729C"/>
    <w:rsid w:val="00F1656B"/>
    <w:rsid w:val="00F203B3"/>
    <w:rsid w:val="00F2518F"/>
    <w:rsid w:val="00F272EF"/>
    <w:rsid w:val="00F31D48"/>
    <w:rsid w:val="00F341A4"/>
    <w:rsid w:val="00F3736A"/>
    <w:rsid w:val="00F4438E"/>
    <w:rsid w:val="00F520AE"/>
    <w:rsid w:val="00F71231"/>
    <w:rsid w:val="00F81FD3"/>
    <w:rsid w:val="00F90808"/>
    <w:rsid w:val="00FA3256"/>
    <w:rsid w:val="00FA3C8A"/>
    <w:rsid w:val="00FA554A"/>
    <w:rsid w:val="00FA73EE"/>
    <w:rsid w:val="00FB09FE"/>
    <w:rsid w:val="00FB14B4"/>
    <w:rsid w:val="00FD17DE"/>
    <w:rsid w:val="00FE59F8"/>
    <w:rsid w:val="00FF26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BD63B-83CE-4EA2-9808-FB0183DD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23AA"/>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167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6736"/>
    <w:rPr>
      <w:rFonts w:ascii="Segoe UI" w:hAnsi="Segoe UI" w:cs="Segoe UI"/>
      <w:sz w:val="18"/>
      <w:szCs w:val="18"/>
      <w:lang w:eastAsia="en-US"/>
    </w:rPr>
  </w:style>
  <w:style w:type="character" w:styleId="Wyrnieniedelikatne">
    <w:name w:val="Subtle Emphasis"/>
    <w:basedOn w:val="Domylnaczcionkaakapitu"/>
    <w:uiPriority w:val="99"/>
    <w:qFormat/>
    <w:rsid w:val="000A3D1D"/>
    <w:rPr>
      <w:i/>
      <w:iCs/>
      <w:color w:val="404040" w:themeColor="text1" w:themeTint="BF"/>
    </w:rPr>
  </w:style>
  <w:style w:type="character" w:styleId="Uwydatnienie">
    <w:name w:val="Emphasis"/>
    <w:basedOn w:val="Domylnaczcionkaakapitu"/>
    <w:uiPriority w:val="20"/>
    <w:qFormat/>
    <w:rsid w:val="000A3D1D"/>
    <w:rPr>
      <w:i/>
      <w:iCs/>
    </w:rPr>
  </w:style>
  <w:style w:type="paragraph" w:styleId="Zwykytekst">
    <w:name w:val="Plain Text"/>
    <w:basedOn w:val="Normalny"/>
    <w:link w:val="ZwykytekstZnak"/>
    <w:uiPriority w:val="99"/>
    <w:unhideWhenUsed/>
    <w:rsid w:val="00A0787B"/>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rsid w:val="00A0787B"/>
    <w:rPr>
      <w:rFonts w:eastAsiaTheme="minorHAnsi" w:cstheme="minorBidi"/>
      <w:sz w:val="22"/>
      <w:szCs w:val="21"/>
      <w:lang w:eastAsia="en-US"/>
    </w:rPr>
  </w:style>
  <w:style w:type="paragraph" w:customStyle="1" w:styleId="Normal">
    <w:name w:val="[Normal]"/>
    <w:uiPriority w:val="99"/>
    <w:rsid w:val="00812D5D"/>
    <w:pPr>
      <w:widowControl w:val="0"/>
      <w:autoSpaceDE w:val="0"/>
      <w:autoSpaceDN w:val="0"/>
      <w:adjustRightInd w:val="0"/>
    </w:pPr>
    <w:rPr>
      <w:rFonts w:ascii="Arial" w:hAnsi="Arial" w:cs="Arial"/>
      <w:sz w:val="24"/>
      <w:szCs w:val="24"/>
    </w:rPr>
  </w:style>
  <w:style w:type="paragraph" w:styleId="Akapitzlist">
    <w:name w:val="List Paragraph"/>
    <w:basedOn w:val="Normalny"/>
    <w:uiPriority w:val="34"/>
    <w:qFormat/>
    <w:rsid w:val="00D10A0D"/>
    <w:pPr>
      <w:spacing w:after="0" w:line="240" w:lineRule="auto"/>
      <w:ind w:left="720"/>
      <w:contextualSpacing/>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2C48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482E"/>
    <w:rPr>
      <w:lang w:eastAsia="en-US"/>
    </w:rPr>
  </w:style>
  <w:style w:type="character" w:styleId="Odwoanieprzypisukocowego">
    <w:name w:val="endnote reference"/>
    <w:basedOn w:val="Domylnaczcionkaakapitu"/>
    <w:uiPriority w:val="99"/>
    <w:semiHidden/>
    <w:unhideWhenUsed/>
    <w:rsid w:val="002C48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37545">
      <w:bodyDiv w:val="1"/>
      <w:marLeft w:val="0"/>
      <w:marRight w:val="0"/>
      <w:marTop w:val="0"/>
      <w:marBottom w:val="0"/>
      <w:divBdr>
        <w:top w:val="none" w:sz="0" w:space="0" w:color="auto"/>
        <w:left w:val="none" w:sz="0" w:space="0" w:color="auto"/>
        <w:bottom w:val="none" w:sz="0" w:space="0" w:color="auto"/>
        <w:right w:val="none" w:sz="0" w:space="0" w:color="auto"/>
      </w:divBdr>
    </w:div>
    <w:div w:id="171726045">
      <w:bodyDiv w:val="1"/>
      <w:marLeft w:val="0"/>
      <w:marRight w:val="0"/>
      <w:marTop w:val="0"/>
      <w:marBottom w:val="0"/>
      <w:divBdr>
        <w:top w:val="none" w:sz="0" w:space="0" w:color="auto"/>
        <w:left w:val="none" w:sz="0" w:space="0" w:color="auto"/>
        <w:bottom w:val="none" w:sz="0" w:space="0" w:color="auto"/>
        <w:right w:val="none" w:sz="0" w:space="0" w:color="auto"/>
      </w:divBdr>
    </w:div>
    <w:div w:id="192034499">
      <w:bodyDiv w:val="1"/>
      <w:marLeft w:val="0"/>
      <w:marRight w:val="0"/>
      <w:marTop w:val="0"/>
      <w:marBottom w:val="0"/>
      <w:divBdr>
        <w:top w:val="none" w:sz="0" w:space="0" w:color="auto"/>
        <w:left w:val="none" w:sz="0" w:space="0" w:color="auto"/>
        <w:bottom w:val="none" w:sz="0" w:space="0" w:color="auto"/>
        <w:right w:val="none" w:sz="0" w:space="0" w:color="auto"/>
      </w:divBdr>
    </w:div>
    <w:div w:id="245117179">
      <w:bodyDiv w:val="1"/>
      <w:marLeft w:val="0"/>
      <w:marRight w:val="0"/>
      <w:marTop w:val="0"/>
      <w:marBottom w:val="0"/>
      <w:divBdr>
        <w:top w:val="none" w:sz="0" w:space="0" w:color="auto"/>
        <w:left w:val="none" w:sz="0" w:space="0" w:color="auto"/>
        <w:bottom w:val="none" w:sz="0" w:space="0" w:color="auto"/>
        <w:right w:val="none" w:sz="0" w:space="0" w:color="auto"/>
      </w:divBdr>
    </w:div>
    <w:div w:id="259802390">
      <w:bodyDiv w:val="1"/>
      <w:marLeft w:val="0"/>
      <w:marRight w:val="0"/>
      <w:marTop w:val="0"/>
      <w:marBottom w:val="0"/>
      <w:divBdr>
        <w:top w:val="none" w:sz="0" w:space="0" w:color="auto"/>
        <w:left w:val="none" w:sz="0" w:space="0" w:color="auto"/>
        <w:bottom w:val="none" w:sz="0" w:space="0" w:color="auto"/>
        <w:right w:val="none" w:sz="0" w:space="0" w:color="auto"/>
      </w:divBdr>
    </w:div>
    <w:div w:id="285432159">
      <w:bodyDiv w:val="1"/>
      <w:marLeft w:val="0"/>
      <w:marRight w:val="0"/>
      <w:marTop w:val="0"/>
      <w:marBottom w:val="0"/>
      <w:divBdr>
        <w:top w:val="none" w:sz="0" w:space="0" w:color="auto"/>
        <w:left w:val="none" w:sz="0" w:space="0" w:color="auto"/>
        <w:bottom w:val="none" w:sz="0" w:space="0" w:color="auto"/>
        <w:right w:val="none" w:sz="0" w:space="0" w:color="auto"/>
      </w:divBdr>
    </w:div>
    <w:div w:id="297341666">
      <w:bodyDiv w:val="1"/>
      <w:marLeft w:val="0"/>
      <w:marRight w:val="0"/>
      <w:marTop w:val="0"/>
      <w:marBottom w:val="0"/>
      <w:divBdr>
        <w:top w:val="none" w:sz="0" w:space="0" w:color="auto"/>
        <w:left w:val="none" w:sz="0" w:space="0" w:color="auto"/>
        <w:bottom w:val="none" w:sz="0" w:space="0" w:color="auto"/>
        <w:right w:val="none" w:sz="0" w:space="0" w:color="auto"/>
      </w:divBdr>
    </w:div>
    <w:div w:id="300959035">
      <w:bodyDiv w:val="1"/>
      <w:marLeft w:val="0"/>
      <w:marRight w:val="0"/>
      <w:marTop w:val="0"/>
      <w:marBottom w:val="0"/>
      <w:divBdr>
        <w:top w:val="none" w:sz="0" w:space="0" w:color="auto"/>
        <w:left w:val="none" w:sz="0" w:space="0" w:color="auto"/>
        <w:bottom w:val="none" w:sz="0" w:space="0" w:color="auto"/>
        <w:right w:val="none" w:sz="0" w:space="0" w:color="auto"/>
      </w:divBdr>
    </w:div>
    <w:div w:id="304704376">
      <w:bodyDiv w:val="1"/>
      <w:marLeft w:val="0"/>
      <w:marRight w:val="0"/>
      <w:marTop w:val="0"/>
      <w:marBottom w:val="0"/>
      <w:divBdr>
        <w:top w:val="none" w:sz="0" w:space="0" w:color="auto"/>
        <w:left w:val="none" w:sz="0" w:space="0" w:color="auto"/>
        <w:bottom w:val="none" w:sz="0" w:space="0" w:color="auto"/>
        <w:right w:val="none" w:sz="0" w:space="0" w:color="auto"/>
      </w:divBdr>
    </w:div>
    <w:div w:id="321544090">
      <w:bodyDiv w:val="1"/>
      <w:marLeft w:val="0"/>
      <w:marRight w:val="0"/>
      <w:marTop w:val="0"/>
      <w:marBottom w:val="0"/>
      <w:divBdr>
        <w:top w:val="none" w:sz="0" w:space="0" w:color="auto"/>
        <w:left w:val="none" w:sz="0" w:space="0" w:color="auto"/>
        <w:bottom w:val="none" w:sz="0" w:space="0" w:color="auto"/>
        <w:right w:val="none" w:sz="0" w:space="0" w:color="auto"/>
      </w:divBdr>
    </w:div>
    <w:div w:id="344401803">
      <w:bodyDiv w:val="1"/>
      <w:marLeft w:val="0"/>
      <w:marRight w:val="0"/>
      <w:marTop w:val="0"/>
      <w:marBottom w:val="0"/>
      <w:divBdr>
        <w:top w:val="none" w:sz="0" w:space="0" w:color="auto"/>
        <w:left w:val="none" w:sz="0" w:space="0" w:color="auto"/>
        <w:bottom w:val="none" w:sz="0" w:space="0" w:color="auto"/>
        <w:right w:val="none" w:sz="0" w:space="0" w:color="auto"/>
      </w:divBdr>
    </w:div>
    <w:div w:id="397828147">
      <w:bodyDiv w:val="1"/>
      <w:marLeft w:val="0"/>
      <w:marRight w:val="0"/>
      <w:marTop w:val="0"/>
      <w:marBottom w:val="0"/>
      <w:divBdr>
        <w:top w:val="none" w:sz="0" w:space="0" w:color="auto"/>
        <w:left w:val="none" w:sz="0" w:space="0" w:color="auto"/>
        <w:bottom w:val="none" w:sz="0" w:space="0" w:color="auto"/>
        <w:right w:val="none" w:sz="0" w:space="0" w:color="auto"/>
      </w:divBdr>
    </w:div>
    <w:div w:id="419647294">
      <w:bodyDiv w:val="1"/>
      <w:marLeft w:val="0"/>
      <w:marRight w:val="0"/>
      <w:marTop w:val="0"/>
      <w:marBottom w:val="0"/>
      <w:divBdr>
        <w:top w:val="none" w:sz="0" w:space="0" w:color="auto"/>
        <w:left w:val="none" w:sz="0" w:space="0" w:color="auto"/>
        <w:bottom w:val="none" w:sz="0" w:space="0" w:color="auto"/>
        <w:right w:val="none" w:sz="0" w:space="0" w:color="auto"/>
      </w:divBdr>
    </w:div>
    <w:div w:id="504981139">
      <w:bodyDiv w:val="1"/>
      <w:marLeft w:val="0"/>
      <w:marRight w:val="0"/>
      <w:marTop w:val="0"/>
      <w:marBottom w:val="0"/>
      <w:divBdr>
        <w:top w:val="none" w:sz="0" w:space="0" w:color="auto"/>
        <w:left w:val="none" w:sz="0" w:space="0" w:color="auto"/>
        <w:bottom w:val="none" w:sz="0" w:space="0" w:color="auto"/>
        <w:right w:val="none" w:sz="0" w:space="0" w:color="auto"/>
      </w:divBdr>
    </w:div>
    <w:div w:id="529148089">
      <w:bodyDiv w:val="1"/>
      <w:marLeft w:val="0"/>
      <w:marRight w:val="0"/>
      <w:marTop w:val="0"/>
      <w:marBottom w:val="0"/>
      <w:divBdr>
        <w:top w:val="none" w:sz="0" w:space="0" w:color="auto"/>
        <w:left w:val="none" w:sz="0" w:space="0" w:color="auto"/>
        <w:bottom w:val="none" w:sz="0" w:space="0" w:color="auto"/>
        <w:right w:val="none" w:sz="0" w:space="0" w:color="auto"/>
      </w:divBdr>
    </w:div>
    <w:div w:id="534536943">
      <w:bodyDiv w:val="1"/>
      <w:marLeft w:val="0"/>
      <w:marRight w:val="0"/>
      <w:marTop w:val="0"/>
      <w:marBottom w:val="0"/>
      <w:divBdr>
        <w:top w:val="none" w:sz="0" w:space="0" w:color="auto"/>
        <w:left w:val="none" w:sz="0" w:space="0" w:color="auto"/>
        <w:bottom w:val="none" w:sz="0" w:space="0" w:color="auto"/>
        <w:right w:val="none" w:sz="0" w:space="0" w:color="auto"/>
      </w:divBdr>
    </w:div>
    <w:div w:id="603149512">
      <w:bodyDiv w:val="1"/>
      <w:marLeft w:val="0"/>
      <w:marRight w:val="0"/>
      <w:marTop w:val="0"/>
      <w:marBottom w:val="0"/>
      <w:divBdr>
        <w:top w:val="none" w:sz="0" w:space="0" w:color="auto"/>
        <w:left w:val="none" w:sz="0" w:space="0" w:color="auto"/>
        <w:bottom w:val="none" w:sz="0" w:space="0" w:color="auto"/>
        <w:right w:val="none" w:sz="0" w:space="0" w:color="auto"/>
      </w:divBdr>
    </w:div>
    <w:div w:id="633605279">
      <w:bodyDiv w:val="1"/>
      <w:marLeft w:val="0"/>
      <w:marRight w:val="0"/>
      <w:marTop w:val="0"/>
      <w:marBottom w:val="0"/>
      <w:divBdr>
        <w:top w:val="none" w:sz="0" w:space="0" w:color="auto"/>
        <w:left w:val="none" w:sz="0" w:space="0" w:color="auto"/>
        <w:bottom w:val="none" w:sz="0" w:space="0" w:color="auto"/>
        <w:right w:val="none" w:sz="0" w:space="0" w:color="auto"/>
      </w:divBdr>
    </w:div>
    <w:div w:id="639306418">
      <w:bodyDiv w:val="1"/>
      <w:marLeft w:val="0"/>
      <w:marRight w:val="0"/>
      <w:marTop w:val="0"/>
      <w:marBottom w:val="0"/>
      <w:divBdr>
        <w:top w:val="none" w:sz="0" w:space="0" w:color="auto"/>
        <w:left w:val="none" w:sz="0" w:space="0" w:color="auto"/>
        <w:bottom w:val="none" w:sz="0" w:space="0" w:color="auto"/>
        <w:right w:val="none" w:sz="0" w:space="0" w:color="auto"/>
      </w:divBdr>
    </w:div>
    <w:div w:id="648168986">
      <w:bodyDiv w:val="1"/>
      <w:marLeft w:val="0"/>
      <w:marRight w:val="0"/>
      <w:marTop w:val="0"/>
      <w:marBottom w:val="0"/>
      <w:divBdr>
        <w:top w:val="none" w:sz="0" w:space="0" w:color="auto"/>
        <w:left w:val="none" w:sz="0" w:space="0" w:color="auto"/>
        <w:bottom w:val="none" w:sz="0" w:space="0" w:color="auto"/>
        <w:right w:val="none" w:sz="0" w:space="0" w:color="auto"/>
      </w:divBdr>
    </w:div>
    <w:div w:id="665473498">
      <w:bodyDiv w:val="1"/>
      <w:marLeft w:val="0"/>
      <w:marRight w:val="0"/>
      <w:marTop w:val="0"/>
      <w:marBottom w:val="0"/>
      <w:divBdr>
        <w:top w:val="none" w:sz="0" w:space="0" w:color="auto"/>
        <w:left w:val="none" w:sz="0" w:space="0" w:color="auto"/>
        <w:bottom w:val="none" w:sz="0" w:space="0" w:color="auto"/>
        <w:right w:val="none" w:sz="0" w:space="0" w:color="auto"/>
      </w:divBdr>
      <w:divsChild>
        <w:div w:id="361639550">
          <w:marLeft w:val="547"/>
          <w:marRight w:val="0"/>
          <w:marTop w:val="200"/>
          <w:marBottom w:val="0"/>
          <w:divBdr>
            <w:top w:val="none" w:sz="0" w:space="0" w:color="auto"/>
            <w:left w:val="none" w:sz="0" w:space="0" w:color="auto"/>
            <w:bottom w:val="none" w:sz="0" w:space="0" w:color="auto"/>
            <w:right w:val="none" w:sz="0" w:space="0" w:color="auto"/>
          </w:divBdr>
        </w:div>
      </w:divsChild>
    </w:div>
    <w:div w:id="683437565">
      <w:bodyDiv w:val="1"/>
      <w:marLeft w:val="0"/>
      <w:marRight w:val="0"/>
      <w:marTop w:val="0"/>
      <w:marBottom w:val="0"/>
      <w:divBdr>
        <w:top w:val="none" w:sz="0" w:space="0" w:color="auto"/>
        <w:left w:val="none" w:sz="0" w:space="0" w:color="auto"/>
        <w:bottom w:val="none" w:sz="0" w:space="0" w:color="auto"/>
        <w:right w:val="none" w:sz="0" w:space="0" w:color="auto"/>
      </w:divBdr>
    </w:div>
    <w:div w:id="699207091">
      <w:bodyDiv w:val="1"/>
      <w:marLeft w:val="0"/>
      <w:marRight w:val="0"/>
      <w:marTop w:val="0"/>
      <w:marBottom w:val="0"/>
      <w:divBdr>
        <w:top w:val="none" w:sz="0" w:space="0" w:color="auto"/>
        <w:left w:val="none" w:sz="0" w:space="0" w:color="auto"/>
        <w:bottom w:val="none" w:sz="0" w:space="0" w:color="auto"/>
        <w:right w:val="none" w:sz="0" w:space="0" w:color="auto"/>
      </w:divBdr>
    </w:div>
    <w:div w:id="766777790">
      <w:bodyDiv w:val="1"/>
      <w:marLeft w:val="0"/>
      <w:marRight w:val="0"/>
      <w:marTop w:val="0"/>
      <w:marBottom w:val="0"/>
      <w:divBdr>
        <w:top w:val="none" w:sz="0" w:space="0" w:color="auto"/>
        <w:left w:val="none" w:sz="0" w:space="0" w:color="auto"/>
        <w:bottom w:val="none" w:sz="0" w:space="0" w:color="auto"/>
        <w:right w:val="none" w:sz="0" w:space="0" w:color="auto"/>
      </w:divBdr>
    </w:div>
    <w:div w:id="791947143">
      <w:bodyDiv w:val="1"/>
      <w:marLeft w:val="0"/>
      <w:marRight w:val="0"/>
      <w:marTop w:val="0"/>
      <w:marBottom w:val="0"/>
      <w:divBdr>
        <w:top w:val="none" w:sz="0" w:space="0" w:color="auto"/>
        <w:left w:val="none" w:sz="0" w:space="0" w:color="auto"/>
        <w:bottom w:val="none" w:sz="0" w:space="0" w:color="auto"/>
        <w:right w:val="none" w:sz="0" w:space="0" w:color="auto"/>
      </w:divBdr>
    </w:div>
    <w:div w:id="802581216">
      <w:bodyDiv w:val="1"/>
      <w:marLeft w:val="0"/>
      <w:marRight w:val="0"/>
      <w:marTop w:val="0"/>
      <w:marBottom w:val="0"/>
      <w:divBdr>
        <w:top w:val="none" w:sz="0" w:space="0" w:color="auto"/>
        <w:left w:val="none" w:sz="0" w:space="0" w:color="auto"/>
        <w:bottom w:val="none" w:sz="0" w:space="0" w:color="auto"/>
        <w:right w:val="none" w:sz="0" w:space="0" w:color="auto"/>
      </w:divBdr>
    </w:div>
    <w:div w:id="806359631">
      <w:bodyDiv w:val="1"/>
      <w:marLeft w:val="0"/>
      <w:marRight w:val="0"/>
      <w:marTop w:val="0"/>
      <w:marBottom w:val="0"/>
      <w:divBdr>
        <w:top w:val="none" w:sz="0" w:space="0" w:color="auto"/>
        <w:left w:val="none" w:sz="0" w:space="0" w:color="auto"/>
        <w:bottom w:val="none" w:sz="0" w:space="0" w:color="auto"/>
        <w:right w:val="none" w:sz="0" w:space="0" w:color="auto"/>
      </w:divBdr>
    </w:div>
    <w:div w:id="848905966">
      <w:bodyDiv w:val="1"/>
      <w:marLeft w:val="0"/>
      <w:marRight w:val="0"/>
      <w:marTop w:val="0"/>
      <w:marBottom w:val="0"/>
      <w:divBdr>
        <w:top w:val="none" w:sz="0" w:space="0" w:color="auto"/>
        <w:left w:val="none" w:sz="0" w:space="0" w:color="auto"/>
        <w:bottom w:val="none" w:sz="0" w:space="0" w:color="auto"/>
        <w:right w:val="none" w:sz="0" w:space="0" w:color="auto"/>
      </w:divBdr>
    </w:div>
    <w:div w:id="863664612">
      <w:bodyDiv w:val="1"/>
      <w:marLeft w:val="0"/>
      <w:marRight w:val="0"/>
      <w:marTop w:val="0"/>
      <w:marBottom w:val="0"/>
      <w:divBdr>
        <w:top w:val="none" w:sz="0" w:space="0" w:color="auto"/>
        <w:left w:val="none" w:sz="0" w:space="0" w:color="auto"/>
        <w:bottom w:val="none" w:sz="0" w:space="0" w:color="auto"/>
        <w:right w:val="none" w:sz="0" w:space="0" w:color="auto"/>
      </w:divBdr>
    </w:div>
    <w:div w:id="899947983">
      <w:bodyDiv w:val="1"/>
      <w:marLeft w:val="0"/>
      <w:marRight w:val="0"/>
      <w:marTop w:val="0"/>
      <w:marBottom w:val="0"/>
      <w:divBdr>
        <w:top w:val="none" w:sz="0" w:space="0" w:color="auto"/>
        <w:left w:val="none" w:sz="0" w:space="0" w:color="auto"/>
        <w:bottom w:val="none" w:sz="0" w:space="0" w:color="auto"/>
        <w:right w:val="none" w:sz="0" w:space="0" w:color="auto"/>
      </w:divBdr>
    </w:div>
    <w:div w:id="907770175">
      <w:bodyDiv w:val="1"/>
      <w:marLeft w:val="0"/>
      <w:marRight w:val="0"/>
      <w:marTop w:val="0"/>
      <w:marBottom w:val="0"/>
      <w:divBdr>
        <w:top w:val="none" w:sz="0" w:space="0" w:color="auto"/>
        <w:left w:val="none" w:sz="0" w:space="0" w:color="auto"/>
        <w:bottom w:val="none" w:sz="0" w:space="0" w:color="auto"/>
        <w:right w:val="none" w:sz="0" w:space="0" w:color="auto"/>
      </w:divBdr>
    </w:div>
    <w:div w:id="939491302">
      <w:bodyDiv w:val="1"/>
      <w:marLeft w:val="0"/>
      <w:marRight w:val="0"/>
      <w:marTop w:val="0"/>
      <w:marBottom w:val="0"/>
      <w:divBdr>
        <w:top w:val="none" w:sz="0" w:space="0" w:color="auto"/>
        <w:left w:val="none" w:sz="0" w:space="0" w:color="auto"/>
        <w:bottom w:val="none" w:sz="0" w:space="0" w:color="auto"/>
        <w:right w:val="none" w:sz="0" w:space="0" w:color="auto"/>
      </w:divBdr>
    </w:div>
    <w:div w:id="948580922">
      <w:bodyDiv w:val="1"/>
      <w:marLeft w:val="0"/>
      <w:marRight w:val="0"/>
      <w:marTop w:val="0"/>
      <w:marBottom w:val="0"/>
      <w:divBdr>
        <w:top w:val="none" w:sz="0" w:space="0" w:color="auto"/>
        <w:left w:val="none" w:sz="0" w:space="0" w:color="auto"/>
        <w:bottom w:val="none" w:sz="0" w:space="0" w:color="auto"/>
        <w:right w:val="none" w:sz="0" w:space="0" w:color="auto"/>
      </w:divBdr>
    </w:div>
    <w:div w:id="949898142">
      <w:bodyDiv w:val="1"/>
      <w:marLeft w:val="0"/>
      <w:marRight w:val="0"/>
      <w:marTop w:val="0"/>
      <w:marBottom w:val="0"/>
      <w:divBdr>
        <w:top w:val="none" w:sz="0" w:space="0" w:color="auto"/>
        <w:left w:val="none" w:sz="0" w:space="0" w:color="auto"/>
        <w:bottom w:val="none" w:sz="0" w:space="0" w:color="auto"/>
        <w:right w:val="none" w:sz="0" w:space="0" w:color="auto"/>
      </w:divBdr>
    </w:div>
    <w:div w:id="990208328">
      <w:bodyDiv w:val="1"/>
      <w:marLeft w:val="0"/>
      <w:marRight w:val="0"/>
      <w:marTop w:val="0"/>
      <w:marBottom w:val="0"/>
      <w:divBdr>
        <w:top w:val="none" w:sz="0" w:space="0" w:color="auto"/>
        <w:left w:val="none" w:sz="0" w:space="0" w:color="auto"/>
        <w:bottom w:val="none" w:sz="0" w:space="0" w:color="auto"/>
        <w:right w:val="none" w:sz="0" w:space="0" w:color="auto"/>
      </w:divBdr>
    </w:div>
    <w:div w:id="1010176776">
      <w:bodyDiv w:val="1"/>
      <w:marLeft w:val="0"/>
      <w:marRight w:val="0"/>
      <w:marTop w:val="0"/>
      <w:marBottom w:val="0"/>
      <w:divBdr>
        <w:top w:val="none" w:sz="0" w:space="0" w:color="auto"/>
        <w:left w:val="none" w:sz="0" w:space="0" w:color="auto"/>
        <w:bottom w:val="none" w:sz="0" w:space="0" w:color="auto"/>
        <w:right w:val="none" w:sz="0" w:space="0" w:color="auto"/>
      </w:divBdr>
    </w:div>
    <w:div w:id="1061635233">
      <w:bodyDiv w:val="1"/>
      <w:marLeft w:val="0"/>
      <w:marRight w:val="0"/>
      <w:marTop w:val="0"/>
      <w:marBottom w:val="0"/>
      <w:divBdr>
        <w:top w:val="none" w:sz="0" w:space="0" w:color="auto"/>
        <w:left w:val="none" w:sz="0" w:space="0" w:color="auto"/>
        <w:bottom w:val="none" w:sz="0" w:space="0" w:color="auto"/>
        <w:right w:val="none" w:sz="0" w:space="0" w:color="auto"/>
      </w:divBdr>
    </w:div>
    <w:div w:id="1095521048">
      <w:bodyDiv w:val="1"/>
      <w:marLeft w:val="0"/>
      <w:marRight w:val="0"/>
      <w:marTop w:val="0"/>
      <w:marBottom w:val="0"/>
      <w:divBdr>
        <w:top w:val="none" w:sz="0" w:space="0" w:color="auto"/>
        <w:left w:val="none" w:sz="0" w:space="0" w:color="auto"/>
        <w:bottom w:val="none" w:sz="0" w:space="0" w:color="auto"/>
        <w:right w:val="none" w:sz="0" w:space="0" w:color="auto"/>
      </w:divBdr>
    </w:div>
    <w:div w:id="1130124753">
      <w:bodyDiv w:val="1"/>
      <w:marLeft w:val="0"/>
      <w:marRight w:val="0"/>
      <w:marTop w:val="0"/>
      <w:marBottom w:val="0"/>
      <w:divBdr>
        <w:top w:val="none" w:sz="0" w:space="0" w:color="auto"/>
        <w:left w:val="none" w:sz="0" w:space="0" w:color="auto"/>
        <w:bottom w:val="none" w:sz="0" w:space="0" w:color="auto"/>
        <w:right w:val="none" w:sz="0" w:space="0" w:color="auto"/>
      </w:divBdr>
    </w:div>
    <w:div w:id="1213077063">
      <w:bodyDiv w:val="1"/>
      <w:marLeft w:val="0"/>
      <w:marRight w:val="0"/>
      <w:marTop w:val="0"/>
      <w:marBottom w:val="0"/>
      <w:divBdr>
        <w:top w:val="none" w:sz="0" w:space="0" w:color="auto"/>
        <w:left w:val="none" w:sz="0" w:space="0" w:color="auto"/>
        <w:bottom w:val="none" w:sz="0" w:space="0" w:color="auto"/>
        <w:right w:val="none" w:sz="0" w:space="0" w:color="auto"/>
      </w:divBdr>
    </w:div>
    <w:div w:id="1285767064">
      <w:bodyDiv w:val="1"/>
      <w:marLeft w:val="0"/>
      <w:marRight w:val="0"/>
      <w:marTop w:val="0"/>
      <w:marBottom w:val="0"/>
      <w:divBdr>
        <w:top w:val="none" w:sz="0" w:space="0" w:color="auto"/>
        <w:left w:val="none" w:sz="0" w:space="0" w:color="auto"/>
        <w:bottom w:val="none" w:sz="0" w:space="0" w:color="auto"/>
        <w:right w:val="none" w:sz="0" w:space="0" w:color="auto"/>
      </w:divBdr>
    </w:div>
    <w:div w:id="1288244156">
      <w:bodyDiv w:val="1"/>
      <w:marLeft w:val="0"/>
      <w:marRight w:val="0"/>
      <w:marTop w:val="0"/>
      <w:marBottom w:val="0"/>
      <w:divBdr>
        <w:top w:val="none" w:sz="0" w:space="0" w:color="auto"/>
        <w:left w:val="none" w:sz="0" w:space="0" w:color="auto"/>
        <w:bottom w:val="none" w:sz="0" w:space="0" w:color="auto"/>
        <w:right w:val="none" w:sz="0" w:space="0" w:color="auto"/>
      </w:divBdr>
      <w:divsChild>
        <w:div w:id="1753774988">
          <w:marLeft w:val="547"/>
          <w:marRight w:val="0"/>
          <w:marTop w:val="200"/>
          <w:marBottom w:val="0"/>
          <w:divBdr>
            <w:top w:val="none" w:sz="0" w:space="0" w:color="auto"/>
            <w:left w:val="none" w:sz="0" w:space="0" w:color="auto"/>
            <w:bottom w:val="none" w:sz="0" w:space="0" w:color="auto"/>
            <w:right w:val="none" w:sz="0" w:space="0" w:color="auto"/>
          </w:divBdr>
        </w:div>
        <w:div w:id="1149636748">
          <w:marLeft w:val="547"/>
          <w:marRight w:val="0"/>
          <w:marTop w:val="0"/>
          <w:marBottom w:val="0"/>
          <w:divBdr>
            <w:top w:val="none" w:sz="0" w:space="0" w:color="auto"/>
            <w:left w:val="none" w:sz="0" w:space="0" w:color="auto"/>
            <w:bottom w:val="none" w:sz="0" w:space="0" w:color="auto"/>
            <w:right w:val="none" w:sz="0" w:space="0" w:color="auto"/>
          </w:divBdr>
        </w:div>
      </w:divsChild>
    </w:div>
    <w:div w:id="1292705247">
      <w:bodyDiv w:val="1"/>
      <w:marLeft w:val="0"/>
      <w:marRight w:val="0"/>
      <w:marTop w:val="0"/>
      <w:marBottom w:val="0"/>
      <w:divBdr>
        <w:top w:val="none" w:sz="0" w:space="0" w:color="auto"/>
        <w:left w:val="none" w:sz="0" w:space="0" w:color="auto"/>
        <w:bottom w:val="none" w:sz="0" w:space="0" w:color="auto"/>
        <w:right w:val="none" w:sz="0" w:space="0" w:color="auto"/>
      </w:divBdr>
    </w:div>
    <w:div w:id="1352100256">
      <w:bodyDiv w:val="1"/>
      <w:marLeft w:val="0"/>
      <w:marRight w:val="0"/>
      <w:marTop w:val="0"/>
      <w:marBottom w:val="0"/>
      <w:divBdr>
        <w:top w:val="none" w:sz="0" w:space="0" w:color="auto"/>
        <w:left w:val="none" w:sz="0" w:space="0" w:color="auto"/>
        <w:bottom w:val="none" w:sz="0" w:space="0" w:color="auto"/>
        <w:right w:val="none" w:sz="0" w:space="0" w:color="auto"/>
      </w:divBdr>
    </w:div>
    <w:div w:id="1363705073">
      <w:bodyDiv w:val="1"/>
      <w:marLeft w:val="0"/>
      <w:marRight w:val="0"/>
      <w:marTop w:val="0"/>
      <w:marBottom w:val="0"/>
      <w:divBdr>
        <w:top w:val="none" w:sz="0" w:space="0" w:color="auto"/>
        <w:left w:val="none" w:sz="0" w:space="0" w:color="auto"/>
        <w:bottom w:val="none" w:sz="0" w:space="0" w:color="auto"/>
        <w:right w:val="none" w:sz="0" w:space="0" w:color="auto"/>
      </w:divBdr>
    </w:div>
    <w:div w:id="1462571690">
      <w:bodyDiv w:val="1"/>
      <w:marLeft w:val="0"/>
      <w:marRight w:val="0"/>
      <w:marTop w:val="0"/>
      <w:marBottom w:val="0"/>
      <w:divBdr>
        <w:top w:val="none" w:sz="0" w:space="0" w:color="auto"/>
        <w:left w:val="none" w:sz="0" w:space="0" w:color="auto"/>
        <w:bottom w:val="none" w:sz="0" w:space="0" w:color="auto"/>
        <w:right w:val="none" w:sz="0" w:space="0" w:color="auto"/>
      </w:divBdr>
    </w:div>
    <w:div w:id="1478647044">
      <w:bodyDiv w:val="1"/>
      <w:marLeft w:val="0"/>
      <w:marRight w:val="0"/>
      <w:marTop w:val="0"/>
      <w:marBottom w:val="0"/>
      <w:divBdr>
        <w:top w:val="none" w:sz="0" w:space="0" w:color="auto"/>
        <w:left w:val="none" w:sz="0" w:space="0" w:color="auto"/>
        <w:bottom w:val="none" w:sz="0" w:space="0" w:color="auto"/>
        <w:right w:val="none" w:sz="0" w:space="0" w:color="auto"/>
      </w:divBdr>
    </w:div>
    <w:div w:id="1484732315">
      <w:bodyDiv w:val="1"/>
      <w:marLeft w:val="0"/>
      <w:marRight w:val="0"/>
      <w:marTop w:val="0"/>
      <w:marBottom w:val="0"/>
      <w:divBdr>
        <w:top w:val="none" w:sz="0" w:space="0" w:color="auto"/>
        <w:left w:val="none" w:sz="0" w:space="0" w:color="auto"/>
        <w:bottom w:val="none" w:sz="0" w:space="0" w:color="auto"/>
        <w:right w:val="none" w:sz="0" w:space="0" w:color="auto"/>
      </w:divBdr>
    </w:div>
    <w:div w:id="1518692173">
      <w:bodyDiv w:val="1"/>
      <w:marLeft w:val="0"/>
      <w:marRight w:val="0"/>
      <w:marTop w:val="0"/>
      <w:marBottom w:val="0"/>
      <w:divBdr>
        <w:top w:val="none" w:sz="0" w:space="0" w:color="auto"/>
        <w:left w:val="none" w:sz="0" w:space="0" w:color="auto"/>
        <w:bottom w:val="none" w:sz="0" w:space="0" w:color="auto"/>
        <w:right w:val="none" w:sz="0" w:space="0" w:color="auto"/>
      </w:divBdr>
    </w:div>
    <w:div w:id="1543900649">
      <w:bodyDiv w:val="1"/>
      <w:marLeft w:val="0"/>
      <w:marRight w:val="0"/>
      <w:marTop w:val="0"/>
      <w:marBottom w:val="0"/>
      <w:divBdr>
        <w:top w:val="none" w:sz="0" w:space="0" w:color="auto"/>
        <w:left w:val="none" w:sz="0" w:space="0" w:color="auto"/>
        <w:bottom w:val="none" w:sz="0" w:space="0" w:color="auto"/>
        <w:right w:val="none" w:sz="0" w:space="0" w:color="auto"/>
      </w:divBdr>
    </w:div>
    <w:div w:id="1558474537">
      <w:bodyDiv w:val="1"/>
      <w:marLeft w:val="0"/>
      <w:marRight w:val="0"/>
      <w:marTop w:val="0"/>
      <w:marBottom w:val="0"/>
      <w:divBdr>
        <w:top w:val="none" w:sz="0" w:space="0" w:color="auto"/>
        <w:left w:val="none" w:sz="0" w:space="0" w:color="auto"/>
        <w:bottom w:val="none" w:sz="0" w:space="0" w:color="auto"/>
        <w:right w:val="none" w:sz="0" w:space="0" w:color="auto"/>
      </w:divBdr>
    </w:div>
    <w:div w:id="1567259439">
      <w:bodyDiv w:val="1"/>
      <w:marLeft w:val="0"/>
      <w:marRight w:val="0"/>
      <w:marTop w:val="0"/>
      <w:marBottom w:val="0"/>
      <w:divBdr>
        <w:top w:val="none" w:sz="0" w:space="0" w:color="auto"/>
        <w:left w:val="none" w:sz="0" w:space="0" w:color="auto"/>
        <w:bottom w:val="none" w:sz="0" w:space="0" w:color="auto"/>
        <w:right w:val="none" w:sz="0" w:space="0" w:color="auto"/>
      </w:divBdr>
    </w:div>
    <w:div w:id="1571577800">
      <w:bodyDiv w:val="1"/>
      <w:marLeft w:val="0"/>
      <w:marRight w:val="0"/>
      <w:marTop w:val="0"/>
      <w:marBottom w:val="0"/>
      <w:divBdr>
        <w:top w:val="none" w:sz="0" w:space="0" w:color="auto"/>
        <w:left w:val="none" w:sz="0" w:space="0" w:color="auto"/>
        <w:bottom w:val="none" w:sz="0" w:space="0" w:color="auto"/>
        <w:right w:val="none" w:sz="0" w:space="0" w:color="auto"/>
      </w:divBdr>
    </w:div>
    <w:div w:id="1587379141">
      <w:bodyDiv w:val="1"/>
      <w:marLeft w:val="0"/>
      <w:marRight w:val="0"/>
      <w:marTop w:val="0"/>
      <w:marBottom w:val="0"/>
      <w:divBdr>
        <w:top w:val="none" w:sz="0" w:space="0" w:color="auto"/>
        <w:left w:val="none" w:sz="0" w:space="0" w:color="auto"/>
        <w:bottom w:val="none" w:sz="0" w:space="0" w:color="auto"/>
        <w:right w:val="none" w:sz="0" w:space="0" w:color="auto"/>
      </w:divBdr>
    </w:div>
    <w:div w:id="1599948358">
      <w:bodyDiv w:val="1"/>
      <w:marLeft w:val="0"/>
      <w:marRight w:val="0"/>
      <w:marTop w:val="0"/>
      <w:marBottom w:val="0"/>
      <w:divBdr>
        <w:top w:val="none" w:sz="0" w:space="0" w:color="auto"/>
        <w:left w:val="none" w:sz="0" w:space="0" w:color="auto"/>
        <w:bottom w:val="none" w:sz="0" w:space="0" w:color="auto"/>
        <w:right w:val="none" w:sz="0" w:space="0" w:color="auto"/>
      </w:divBdr>
    </w:div>
    <w:div w:id="1633319194">
      <w:bodyDiv w:val="1"/>
      <w:marLeft w:val="0"/>
      <w:marRight w:val="0"/>
      <w:marTop w:val="0"/>
      <w:marBottom w:val="0"/>
      <w:divBdr>
        <w:top w:val="none" w:sz="0" w:space="0" w:color="auto"/>
        <w:left w:val="none" w:sz="0" w:space="0" w:color="auto"/>
        <w:bottom w:val="none" w:sz="0" w:space="0" w:color="auto"/>
        <w:right w:val="none" w:sz="0" w:space="0" w:color="auto"/>
      </w:divBdr>
    </w:div>
    <w:div w:id="1648120742">
      <w:bodyDiv w:val="1"/>
      <w:marLeft w:val="0"/>
      <w:marRight w:val="0"/>
      <w:marTop w:val="0"/>
      <w:marBottom w:val="0"/>
      <w:divBdr>
        <w:top w:val="none" w:sz="0" w:space="0" w:color="auto"/>
        <w:left w:val="none" w:sz="0" w:space="0" w:color="auto"/>
        <w:bottom w:val="none" w:sz="0" w:space="0" w:color="auto"/>
        <w:right w:val="none" w:sz="0" w:space="0" w:color="auto"/>
      </w:divBdr>
    </w:div>
    <w:div w:id="1650594350">
      <w:bodyDiv w:val="1"/>
      <w:marLeft w:val="0"/>
      <w:marRight w:val="0"/>
      <w:marTop w:val="0"/>
      <w:marBottom w:val="0"/>
      <w:divBdr>
        <w:top w:val="none" w:sz="0" w:space="0" w:color="auto"/>
        <w:left w:val="none" w:sz="0" w:space="0" w:color="auto"/>
        <w:bottom w:val="none" w:sz="0" w:space="0" w:color="auto"/>
        <w:right w:val="none" w:sz="0" w:space="0" w:color="auto"/>
      </w:divBdr>
    </w:div>
    <w:div w:id="1660887848">
      <w:bodyDiv w:val="1"/>
      <w:marLeft w:val="0"/>
      <w:marRight w:val="0"/>
      <w:marTop w:val="0"/>
      <w:marBottom w:val="0"/>
      <w:divBdr>
        <w:top w:val="none" w:sz="0" w:space="0" w:color="auto"/>
        <w:left w:val="none" w:sz="0" w:space="0" w:color="auto"/>
        <w:bottom w:val="none" w:sz="0" w:space="0" w:color="auto"/>
        <w:right w:val="none" w:sz="0" w:space="0" w:color="auto"/>
      </w:divBdr>
    </w:div>
    <w:div w:id="1700466092">
      <w:bodyDiv w:val="1"/>
      <w:marLeft w:val="0"/>
      <w:marRight w:val="0"/>
      <w:marTop w:val="0"/>
      <w:marBottom w:val="0"/>
      <w:divBdr>
        <w:top w:val="none" w:sz="0" w:space="0" w:color="auto"/>
        <w:left w:val="none" w:sz="0" w:space="0" w:color="auto"/>
        <w:bottom w:val="none" w:sz="0" w:space="0" w:color="auto"/>
        <w:right w:val="none" w:sz="0" w:space="0" w:color="auto"/>
      </w:divBdr>
    </w:div>
    <w:div w:id="1741051823">
      <w:bodyDiv w:val="1"/>
      <w:marLeft w:val="0"/>
      <w:marRight w:val="0"/>
      <w:marTop w:val="0"/>
      <w:marBottom w:val="0"/>
      <w:divBdr>
        <w:top w:val="none" w:sz="0" w:space="0" w:color="auto"/>
        <w:left w:val="none" w:sz="0" w:space="0" w:color="auto"/>
        <w:bottom w:val="none" w:sz="0" w:space="0" w:color="auto"/>
        <w:right w:val="none" w:sz="0" w:space="0" w:color="auto"/>
      </w:divBdr>
    </w:div>
    <w:div w:id="1775514977">
      <w:bodyDiv w:val="1"/>
      <w:marLeft w:val="0"/>
      <w:marRight w:val="0"/>
      <w:marTop w:val="0"/>
      <w:marBottom w:val="0"/>
      <w:divBdr>
        <w:top w:val="none" w:sz="0" w:space="0" w:color="auto"/>
        <w:left w:val="none" w:sz="0" w:space="0" w:color="auto"/>
        <w:bottom w:val="none" w:sz="0" w:space="0" w:color="auto"/>
        <w:right w:val="none" w:sz="0" w:space="0" w:color="auto"/>
      </w:divBdr>
    </w:div>
    <w:div w:id="1797063374">
      <w:bodyDiv w:val="1"/>
      <w:marLeft w:val="0"/>
      <w:marRight w:val="0"/>
      <w:marTop w:val="0"/>
      <w:marBottom w:val="0"/>
      <w:divBdr>
        <w:top w:val="none" w:sz="0" w:space="0" w:color="auto"/>
        <w:left w:val="none" w:sz="0" w:space="0" w:color="auto"/>
        <w:bottom w:val="none" w:sz="0" w:space="0" w:color="auto"/>
        <w:right w:val="none" w:sz="0" w:space="0" w:color="auto"/>
      </w:divBdr>
    </w:div>
    <w:div w:id="1824882496">
      <w:bodyDiv w:val="1"/>
      <w:marLeft w:val="0"/>
      <w:marRight w:val="0"/>
      <w:marTop w:val="0"/>
      <w:marBottom w:val="0"/>
      <w:divBdr>
        <w:top w:val="none" w:sz="0" w:space="0" w:color="auto"/>
        <w:left w:val="none" w:sz="0" w:space="0" w:color="auto"/>
        <w:bottom w:val="none" w:sz="0" w:space="0" w:color="auto"/>
        <w:right w:val="none" w:sz="0" w:space="0" w:color="auto"/>
      </w:divBdr>
    </w:div>
    <w:div w:id="1829511981">
      <w:bodyDiv w:val="1"/>
      <w:marLeft w:val="0"/>
      <w:marRight w:val="0"/>
      <w:marTop w:val="0"/>
      <w:marBottom w:val="0"/>
      <w:divBdr>
        <w:top w:val="none" w:sz="0" w:space="0" w:color="auto"/>
        <w:left w:val="none" w:sz="0" w:space="0" w:color="auto"/>
        <w:bottom w:val="none" w:sz="0" w:space="0" w:color="auto"/>
        <w:right w:val="none" w:sz="0" w:space="0" w:color="auto"/>
      </w:divBdr>
    </w:div>
    <w:div w:id="1838108345">
      <w:bodyDiv w:val="1"/>
      <w:marLeft w:val="0"/>
      <w:marRight w:val="0"/>
      <w:marTop w:val="0"/>
      <w:marBottom w:val="0"/>
      <w:divBdr>
        <w:top w:val="none" w:sz="0" w:space="0" w:color="auto"/>
        <w:left w:val="none" w:sz="0" w:space="0" w:color="auto"/>
        <w:bottom w:val="none" w:sz="0" w:space="0" w:color="auto"/>
        <w:right w:val="none" w:sz="0" w:space="0" w:color="auto"/>
      </w:divBdr>
    </w:div>
    <w:div w:id="1838812232">
      <w:bodyDiv w:val="1"/>
      <w:marLeft w:val="0"/>
      <w:marRight w:val="0"/>
      <w:marTop w:val="0"/>
      <w:marBottom w:val="0"/>
      <w:divBdr>
        <w:top w:val="none" w:sz="0" w:space="0" w:color="auto"/>
        <w:left w:val="none" w:sz="0" w:space="0" w:color="auto"/>
        <w:bottom w:val="none" w:sz="0" w:space="0" w:color="auto"/>
        <w:right w:val="none" w:sz="0" w:space="0" w:color="auto"/>
      </w:divBdr>
    </w:div>
    <w:div w:id="1845127367">
      <w:bodyDiv w:val="1"/>
      <w:marLeft w:val="0"/>
      <w:marRight w:val="0"/>
      <w:marTop w:val="0"/>
      <w:marBottom w:val="0"/>
      <w:divBdr>
        <w:top w:val="none" w:sz="0" w:space="0" w:color="auto"/>
        <w:left w:val="none" w:sz="0" w:space="0" w:color="auto"/>
        <w:bottom w:val="none" w:sz="0" w:space="0" w:color="auto"/>
        <w:right w:val="none" w:sz="0" w:space="0" w:color="auto"/>
      </w:divBdr>
    </w:div>
    <w:div w:id="1898124488">
      <w:bodyDiv w:val="1"/>
      <w:marLeft w:val="0"/>
      <w:marRight w:val="0"/>
      <w:marTop w:val="0"/>
      <w:marBottom w:val="0"/>
      <w:divBdr>
        <w:top w:val="none" w:sz="0" w:space="0" w:color="auto"/>
        <w:left w:val="none" w:sz="0" w:space="0" w:color="auto"/>
        <w:bottom w:val="none" w:sz="0" w:space="0" w:color="auto"/>
        <w:right w:val="none" w:sz="0" w:space="0" w:color="auto"/>
      </w:divBdr>
    </w:div>
    <w:div w:id="1898516636">
      <w:bodyDiv w:val="1"/>
      <w:marLeft w:val="0"/>
      <w:marRight w:val="0"/>
      <w:marTop w:val="0"/>
      <w:marBottom w:val="0"/>
      <w:divBdr>
        <w:top w:val="none" w:sz="0" w:space="0" w:color="auto"/>
        <w:left w:val="none" w:sz="0" w:space="0" w:color="auto"/>
        <w:bottom w:val="none" w:sz="0" w:space="0" w:color="auto"/>
        <w:right w:val="none" w:sz="0" w:space="0" w:color="auto"/>
      </w:divBdr>
    </w:div>
    <w:div w:id="1901944415">
      <w:bodyDiv w:val="1"/>
      <w:marLeft w:val="0"/>
      <w:marRight w:val="0"/>
      <w:marTop w:val="0"/>
      <w:marBottom w:val="0"/>
      <w:divBdr>
        <w:top w:val="none" w:sz="0" w:space="0" w:color="auto"/>
        <w:left w:val="none" w:sz="0" w:space="0" w:color="auto"/>
        <w:bottom w:val="none" w:sz="0" w:space="0" w:color="auto"/>
        <w:right w:val="none" w:sz="0" w:space="0" w:color="auto"/>
      </w:divBdr>
    </w:div>
    <w:div w:id="1907033856">
      <w:bodyDiv w:val="1"/>
      <w:marLeft w:val="0"/>
      <w:marRight w:val="0"/>
      <w:marTop w:val="0"/>
      <w:marBottom w:val="0"/>
      <w:divBdr>
        <w:top w:val="none" w:sz="0" w:space="0" w:color="auto"/>
        <w:left w:val="none" w:sz="0" w:space="0" w:color="auto"/>
        <w:bottom w:val="none" w:sz="0" w:space="0" w:color="auto"/>
        <w:right w:val="none" w:sz="0" w:space="0" w:color="auto"/>
      </w:divBdr>
    </w:div>
    <w:div w:id="1954365412">
      <w:bodyDiv w:val="1"/>
      <w:marLeft w:val="0"/>
      <w:marRight w:val="0"/>
      <w:marTop w:val="0"/>
      <w:marBottom w:val="0"/>
      <w:divBdr>
        <w:top w:val="none" w:sz="0" w:space="0" w:color="auto"/>
        <w:left w:val="none" w:sz="0" w:space="0" w:color="auto"/>
        <w:bottom w:val="none" w:sz="0" w:space="0" w:color="auto"/>
        <w:right w:val="none" w:sz="0" w:space="0" w:color="auto"/>
      </w:divBdr>
    </w:div>
    <w:div w:id="1956517169">
      <w:bodyDiv w:val="1"/>
      <w:marLeft w:val="0"/>
      <w:marRight w:val="0"/>
      <w:marTop w:val="0"/>
      <w:marBottom w:val="0"/>
      <w:divBdr>
        <w:top w:val="none" w:sz="0" w:space="0" w:color="auto"/>
        <w:left w:val="none" w:sz="0" w:space="0" w:color="auto"/>
        <w:bottom w:val="none" w:sz="0" w:space="0" w:color="auto"/>
        <w:right w:val="none" w:sz="0" w:space="0" w:color="auto"/>
      </w:divBdr>
    </w:div>
    <w:div w:id="1966960850">
      <w:bodyDiv w:val="1"/>
      <w:marLeft w:val="0"/>
      <w:marRight w:val="0"/>
      <w:marTop w:val="0"/>
      <w:marBottom w:val="0"/>
      <w:divBdr>
        <w:top w:val="none" w:sz="0" w:space="0" w:color="auto"/>
        <w:left w:val="none" w:sz="0" w:space="0" w:color="auto"/>
        <w:bottom w:val="none" w:sz="0" w:space="0" w:color="auto"/>
        <w:right w:val="none" w:sz="0" w:space="0" w:color="auto"/>
      </w:divBdr>
    </w:div>
    <w:div w:id="2013146398">
      <w:bodyDiv w:val="1"/>
      <w:marLeft w:val="0"/>
      <w:marRight w:val="0"/>
      <w:marTop w:val="0"/>
      <w:marBottom w:val="0"/>
      <w:divBdr>
        <w:top w:val="none" w:sz="0" w:space="0" w:color="auto"/>
        <w:left w:val="none" w:sz="0" w:space="0" w:color="auto"/>
        <w:bottom w:val="none" w:sz="0" w:space="0" w:color="auto"/>
        <w:right w:val="none" w:sz="0" w:space="0" w:color="auto"/>
      </w:divBdr>
    </w:div>
    <w:div w:id="2020042031">
      <w:bodyDiv w:val="1"/>
      <w:marLeft w:val="0"/>
      <w:marRight w:val="0"/>
      <w:marTop w:val="0"/>
      <w:marBottom w:val="0"/>
      <w:divBdr>
        <w:top w:val="none" w:sz="0" w:space="0" w:color="auto"/>
        <w:left w:val="none" w:sz="0" w:space="0" w:color="auto"/>
        <w:bottom w:val="none" w:sz="0" w:space="0" w:color="auto"/>
        <w:right w:val="none" w:sz="0" w:space="0" w:color="auto"/>
      </w:divBdr>
    </w:div>
    <w:div w:id="2056543305">
      <w:bodyDiv w:val="1"/>
      <w:marLeft w:val="0"/>
      <w:marRight w:val="0"/>
      <w:marTop w:val="0"/>
      <w:marBottom w:val="0"/>
      <w:divBdr>
        <w:top w:val="none" w:sz="0" w:space="0" w:color="auto"/>
        <w:left w:val="none" w:sz="0" w:space="0" w:color="auto"/>
        <w:bottom w:val="none" w:sz="0" w:space="0" w:color="auto"/>
        <w:right w:val="none" w:sz="0" w:space="0" w:color="auto"/>
      </w:divBdr>
    </w:div>
    <w:div w:id="2067873772">
      <w:bodyDiv w:val="1"/>
      <w:marLeft w:val="0"/>
      <w:marRight w:val="0"/>
      <w:marTop w:val="0"/>
      <w:marBottom w:val="0"/>
      <w:divBdr>
        <w:top w:val="none" w:sz="0" w:space="0" w:color="auto"/>
        <w:left w:val="none" w:sz="0" w:space="0" w:color="auto"/>
        <w:bottom w:val="none" w:sz="0" w:space="0" w:color="auto"/>
        <w:right w:val="none" w:sz="0" w:space="0" w:color="auto"/>
      </w:divBdr>
    </w:div>
    <w:div w:id="2100179373">
      <w:bodyDiv w:val="1"/>
      <w:marLeft w:val="0"/>
      <w:marRight w:val="0"/>
      <w:marTop w:val="0"/>
      <w:marBottom w:val="0"/>
      <w:divBdr>
        <w:top w:val="none" w:sz="0" w:space="0" w:color="auto"/>
        <w:left w:val="none" w:sz="0" w:space="0" w:color="auto"/>
        <w:bottom w:val="none" w:sz="0" w:space="0" w:color="auto"/>
        <w:right w:val="none" w:sz="0" w:space="0" w:color="auto"/>
      </w:divBdr>
    </w:div>
    <w:div w:id="210241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10F23-F1D4-4263-A204-D1BA87DFD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1859</Words>
  <Characters>11154</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i.jankiewicz</dc:creator>
  <cp:lastModifiedBy>Marzena Górska</cp:lastModifiedBy>
  <cp:revision>32</cp:revision>
  <cp:lastPrinted>2021-11-15T18:13:00Z</cp:lastPrinted>
  <dcterms:created xsi:type="dcterms:W3CDTF">2021-11-15T07:26:00Z</dcterms:created>
  <dcterms:modified xsi:type="dcterms:W3CDTF">2021-11-16T07:25:00Z</dcterms:modified>
</cp:coreProperties>
</file>