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A6C" w:rsidRDefault="007C4A6C" w:rsidP="00517567">
      <w:pPr>
        <w:spacing w:line="360" w:lineRule="auto"/>
        <w:jc w:val="right"/>
        <w:rPr>
          <w:b/>
        </w:rPr>
      </w:pPr>
    </w:p>
    <w:p w:rsidR="00473459" w:rsidRPr="00C96831" w:rsidRDefault="00473459" w:rsidP="00517567">
      <w:pPr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C96831">
        <w:rPr>
          <w:rFonts w:ascii="Arial" w:hAnsi="Arial" w:cs="Arial"/>
          <w:b/>
          <w:sz w:val="22"/>
          <w:szCs w:val="22"/>
        </w:rPr>
        <w:t>Załącznik nr 2</w:t>
      </w:r>
    </w:p>
    <w:p w:rsidR="00473459" w:rsidRPr="00C96831" w:rsidRDefault="00473459" w:rsidP="00517567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C96831">
        <w:rPr>
          <w:rFonts w:ascii="Arial" w:hAnsi="Arial" w:cs="Arial"/>
          <w:b/>
          <w:sz w:val="22"/>
          <w:szCs w:val="22"/>
        </w:rPr>
        <w:t>KSIĘGI RACHUNKOWE PROJEKTU</w:t>
      </w:r>
    </w:p>
    <w:p w:rsidR="00473459" w:rsidRPr="00C96831" w:rsidRDefault="00473459" w:rsidP="00517567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473459" w:rsidRPr="00C96831" w:rsidRDefault="00476A91" w:rsidP="00B358D5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C96831">
        <w:rPr>
          <w:rFonts w:ascii="Arial" w:hAnsi="Arial" w:cs="Arial"/>
          <w:b/>
          <w:sz w:val="22"/>
          <w:szCs w:val="22"/>
        </w:rPr>
        <w:t xml:space="preserve">I </w:t>
      </w:r>
      <w:r w:rsidR="00473459" w:rsidRPr="00C96831">
        <w:rPr>
          <w:rFonts w:ascii="Arial" w:hAnsi="Arial" w:cs="Arial"/>
          <w:b/>
          <w:sz w:val="22"/>
          <w:szCs w:val="22"/>
        </w:rPr>
        <w:t>Dziennik</w:t>
      </w:r>
    </w:p>
    <w:p w:rsidR="00473459" w:rsidRPr="00C96831" w:rsidRDefault="00473459" w:rsidP="00B358D5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C96831">
        <w:rPr>
          <w:rFonts w:ascii="Arial" w:hAnsi="Arial" w:cs="Arial"/>
          <w:sz w:val="22"/>
          <w:szCs w:val="22"/>
        </w:rPr>
        <w:t>Dziennik projektu jest zabezpieczany w księgowym programie komputerowym, na zasadzie dziennika szczegółowego (częściowego) obejmującego zaksięgowane dokumenty dotyczące danego projektu</w:t>
      </w:r>
      <w:r w:rsidR="00E226C3" w:rsidRPr="00C96831">
        <w:rPr>
          <w:rFonts w:ascii="Arial" w:hAnsi="Arial" w:cs="Arial"/>
          <w:sz w:val="22"/>
          <w:szCs w:val="22"/>
        </w:rPr>
        <w:t xml:space="preserve">. </w:t>
      </w:r>
    </w:p>
    <w:p w:rsidR="00E226C3" w:rsidRPr="00C96831" w:rsidRDefault="00473459" w:rsidP="00B358D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96831">
        <w:rPr>
          <w:rFonts w:ascii="Arial" w:hAnsi="Arial" w:cs="Arial"/>
          <w:sz w:val="22"/>
          <w:szCs w:val="22"/>
        </w:rPr>
        <w:t xml:space="preserve">Numeracja zapisów w dzienniku dot. Projektu jest prowadzona następująco: numeracja </w:t>
      </w:r>
      <w:r w:rsidR="00CA42B8" w:rsidRPr="00C96831">
        <w:rPr>
          <w:rFonts w:ascii="Arial" w:hAnsi="Arial" w:cs="Arial"/>
          <w:sz w:val="22"/>
          <w:szCs w:val="22"/>
        </w:rPr>
        <w:br/>
      </w:r>
      <w:r w:rsidRPr="00C96831">
        <w:rPr>
          <w:rFonts w:ascii="Arial" w:hAnsi="Arial" w:cs="Arial"/>
          <w:sz w:val="22"/>
          <w:szCs w:val="22"/>
        </w:rPr>
        <w:t>w sposób ciągły i niezależny w miesiącu. Dowód księgowy jest oznakowany</w:t>
      </w:r>
      <w:r w:rsidR="00E226C3" w:rsidRPr="00C96831">
        <w:rPr>
          <w:rFonts w:ascii="Arial" w:hAnsi="Arial" w:cs="Arial"/>
          <w:sz w:val="22"/>
          <w:szCs w:val="22"/>
        </w:rPr>
        <w:t xml:space="preserve"> num</w:t>
      </w:r>
      <w:r w:rsidR="00B358D5" w:rsidRPr="00C96831">
        <w:rPr>
          <w:rFonts w:ascii="Arial" w:hAnsi="Arial" w:cs="Arial"/>
          <w:sz w:val="22"/>
          <w:szCs w:val="22"/>
        </w:rPr>
        <w:t>e</w:t>
      </w:r>
      <w:r w:rsidR="008B0A4A" w:rsidRPr="00C96831">
        <w:rPr>
          <w:rFonts w:ascii="Arial" w:hAnsi="Arial" w:cs="Arial"/>
          <w:sz w:val="22"/>
          <w:szCs w:val="22"/>
        </w:rPr>
        <w:t>rem pozycji dziennika,</w:t>
      </w:r>
      <w:r w:rsidR="003D25C8" w:rsidRPr="00C96831">
        <w:rPr>
          <w:rFonts w:ascii="Arial" w:hAnsi="Arial" w:cs="Arial"/>
          <w:sz w:val="22"/>
          <w:szCs w:val="22"/>
        </w:rPr>
        <w:t xml:space="preserve"> typem dokumentu,</w:t>
      </w:r>
      <w:r w:rsidR="008B0A4A" w:rsidRPr="00C96831">
        <w:rPr>
          <w:rFonts w:ascii="Arial" w:hAnsi="Arial" w:cs="Arial"/>
          <w:sz w:val="22"/>
          <w:szCs w:val="22"/>
        </w:rPr>
        <w:t xml:space="preserve"> </w:t>
      </w:r>
      <w:r w:rsidR="00E226C3" w:rsidRPr="00C96831">
        <w:rPr>
          <w:rFonts w:ascii="Arial" w:hAnsi="Arial" w:cs="Arial"/>
          <w:sz w:val="22"/>
          <w:szCs w:val="22"/>
        </w:rPr>
        <w:t>nu</w:t>
      </w:r>
      <w:r w:rsidRPr="00C96831">
        <w:rPr>
          <w:rFonts w:ascii="Arial" w:hAnsi="Arial" w:cs="Arial"/>
          <w:sz w:val="22"/>
          <w:szCs w:val="22"/>
        </w:rPr>
        <w:t>m</w:t>
      </w:r>
      <w:r w:rsidR="00E226C3" w:rsidRPr="00C96831">
        <w:rPr>
          <w:rFonts w:ascii="Arial" w:hAnsi="Arial" w:cs="Arial"/>
          <w:sz w:val="22"/>
          <w:szCs w:val="22"/>
        </w:rPr>
        <w:t>e</w:t>
      </w:r>
      <w:r w:rsidRPr="00C96831">
        <w:rPr>
          <w:rFonts w:ascii="Arial" w:hAnsi="Arial" w:cs="Arial"/>
          <w:sz w:val="22"/>
          <w:szCs w:val="22"/>
        </w:rPr>
        <w:t>rem miesiąca</w:t>
      </w:r>
      <w:r w:rsidR="008B0A4A" w:rsidRPr="00C96831">
        <w:rPr>
          <w:rFonts w:ascii="Arial" w:hAnsi="Arial" w:cs="Arial"/>
          <w:sz w:val="22"/>
          <w:szCs w:val="22"/>
        </w:rPr>
        <w:t xml:space="preserve"> i roku</w:t>
      </w:r>
      <w:r w:rsidRPr="00C96831">
        <w:rPr>
          <w:rFonts w:ascii="Arial" w:hAnsi="Arial" w:cs="Arial"/>
          <w:sz w:val="22"/>
          <w:szCs w:val="22"/>
        </w:rPr>
        <w:t>.</w:t>
      </w:r>
      <w:r w:rsidR="00E226C3" w:rsidRPr="00C96831">
        <w:rPr>
          <w:rFonts w:ascii="Arial" w:hAnsi="Arial" w:cs="Arial"/>
          <w:sz w:val="22"/>
          <w:szCs w:val="22"/>
        </w:rPr>
        <w:t xml:space="preserve"> </w:t>
      </w:r>
    </w:p>
    <w:p w:rsidR="00E226C3" w:rsidRPr="00C96831" w:rsidRDefault="008B0A4A" w:rsidP="00B358D5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C96831">
        <w:rPr>
          <w:rFonts w:ascii="Arial" w:hAnsi="Arial" w:cs="Arial"/>
          <w:b/>
          <w:sz w:val="22"/>
          <w:szCs w:val="22"/>
        </w:rPr>
        <w:t>K</w:t>
      </w:r>
      <w:r w:rsidR="003D25C8" w:rsidRPr="00C96831">
        <w:rPr>
          <w:rFonts w:ascii="Arial" w:hAnsi="Arial" w:cs="Arial"/>
          <w:b/>
          <w:sz w:val="22"/>
          <w:szCs w:val="22"/>
        </w:rPr>
        <w:t>olejny numer księgowy dokumentu/ typ dokumentu/</w:t>
      </w:r>
      <w:r w:rsidR="004B3B86">
        <w:rPr>
          <w:rFonts w:ascii="Arial" w:hAnsi="Arial" w:cs="Arial"/>
          <w:b/>
          <w:sz w:val="22"/>
          <w:szCs w:val="22"/>
        </w:rPr>
        <w:t xml:space="preserve"> kolejny miesiąc/rok</w:t>
      </w:r>
    </w:p>
    <w:p w:rsidR="00EF1555" w:rsidRPr="00C96831" w:rsidRDefault="00E226C3" w:rsidP="00AA1FD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96831">
        <w:rPr>
          <w:rFonts w:ascii="Arial" w:hAnsi="Arial" w:cs="Arial"/>
          <w:sz w:val="22"/>
          <w:szCs w:val="22"/>
        </w:rPr>
        <w:t xml:space="preserve"> </w:t>
      </w:r>
      <w:r w:rsidR="00EF1555" w:rsidRPr="00C96831">
        <w:rPr>
          <w:rFonts w:ascii="Arial" w:hAnsi="Arial" w:cs="Arial"/>
          <w:sz w:val="22"/>
          <w:szCs w:val="22"/>
        </w:rPr>
        <w:t>Na koniec każdego miesiąca następuje odpowiednie uzgodnienie obrotów dziennika projektu z obrotami zestaw</w:t>
      </w:r>
      <w:r w:rsidRPr="00C96831">
        <w:rPr>
          <w:rFonts w:ascii="Arial" w:hAnsi="Arial" w:cs="Arial"/>
          <w:sz w:val="22"/>
          <w:szCs w:val="22"/>
        </w:rPr>
        <w:t>i</w:t>
      </w:r>
      <w:r w:rsidR="00EF1555" w:rsidRPr="00C96831">
        <w:rPr>
          <w:rFonts w:ascii="Arial" w:hAnsi="Arial" w:cs="Arial"/>
          <w:sz w:val="22"/>
          <w:szCs w:val="22"/>
        </w:rPr>
        <w:t>enia obrotów i sald księgi głównej.</w:t>
      </w:r>
    </w:p>
    <w:p w:rsidR="00EF1555" w:rsidRPr="00C96831" w:rsidRDefault="00EF3C52" w:rsidP="00AA1FD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96831">
        <w:rPr>
          <w:rFonts w:ascii="Arial" w:hAnsi="Arial" w:cs="Arial"/>
          <w:sz w:val="22"/>
          <w:szCs w:val="22"/>
        </w:rPr>
        <w:t>Ważne</w:t>
      </w:r>
      <w:r w:rsidR="00EF1555" w:rsidRPr="00C96831">
        <w:rPr>
          <w:rFonts w:ascii="Arial" w:hAnsi="Arial" w:cs="Arial"/>
          <w:sz w:val="22"/>
          <w:szCs w:val="22"/>
        </w:rPr>
        <w:t xml:space="preserve"> jest też, by numer księgowy (ewidencyjny) dokumentu, szczególnie w zakresie wydatków kwalifikowanych był konsekwentnie nadawany i przestrzegany w i</w:t>
      </w:r>
      <w:r w:rsidR="00D249DA">
        <w:rPr>
          <w:rFonts w:ascii="Arial" w:hAnsi="Arial" w:cs="Arial"/>
          <w:sz w:val="22"/>
          <w:szCs w:val="22"/>
        </w:rPr>
        <w:t>nnych zestawieniach i raportach.</w:t>
      </w:r>
    </w:p>
    <w:p w:rsidR="00840F16" w:rsidRPr="00C96831" w:rsidRDefault="00840F16" w:rsidP="00AA1FD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F1555" w:rsidRPr="00C96831" w:rsidRDefault="00476A91" w:rsidP="00AA1FD6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C96831">
        <w:rPr>
          <w:rFonts w:ascii="Arial" w:hAnsi="Arial" w:cs="Arial"/>
          <w:b/>
          <w:sz w:val="22"/>
          <w:szCs w:val="22"/>
        </w:rPr>
        <w:t xml:space="preserve">II </w:t>
      </w:r>
      <w:r w:rsidR="00EF1555" w:rsidRPr="00C96831">
        <w:rPr>
          <w:rFonts w:ascii="Arial" w:hAnsi="Arial" w:cs="Arial"/>
          <w:b/>
          <w:sz w:val="22"/>
          <w:szCs w:val="22"/>
        </w:rPr>
        <w:t>Księga główna projektu (konta syntetyczne obsługujące projekt) i ewidencja szczegółowa</w:t>
      </w:r>
    </w:p>
    <w:p w:rsidR="008C50FB" w:rsidRDefault="005D7729" w:rsidP="00AA1FD6">
      <w:pPr>
        <w:spacing w:line="360" w:lineRule="auto"/>
        <w:jc w:val="both"/>
        <w:rPr>
          <w:rFonts w:ascii="Arial" w:hAnsi="Arial" w:cs="Arial"/>
          <w:b/>
          <w:bCs/>
        </w:rPr>
      </w:pPr>
      <w:r w:rsidRPr="00C96831">
        <w:rPr>
          <w:rFonts w:ascii="Arial" w:hAnsi="Arial" w:cs="Arial"/>
          <w:sz w:val="22"/>
          <w:szCs w:val="22"/>
        </w:rPr>
        <w:t xml:space="preserve">Dla wyodrębnienia wydatków </w:t>
      </w:r>
      <w:r w:rsidRPr="00896CC7">
        <w:rPr>
          <w:rFonts w:ascii="Arial" w:hAnsi="Arial" w:cs="Arial"/>
          <w:sz w:val="22"/>
          <w:szCs w:val="22"/>
        </w:rPr>
        <w:t xml:space="preserve">projektu </w:t>
      </w:r>
      <w:r w:rsidR="00896CC7" w:rsidRPr="00896CC7">
        <w:rPr>
          <w:rFonts w:ascii="Arial" w:hAnsi="Arial" w:cs="Arial"/>
          <w:bCs/>
          <w:sz w:val="22"/>
          <w:szCs w:val="22"/>
        </w:rPr>
        <w:t>„Współpraca Ekonomii Społecznej – Lokalnych Samorządów – Biznesu - NGO”</w:t>
      </w:r>
      <w:r w:rsidR="005F1F72" w:rsidRPr="00C96831">
        <w:rPr>
          <w:rFonts w:ascii="Arial" w:hAnsi="Arial" w:cs="Arial"/>
          <w:sz w:val="22"/>
          <w:szCs w:val="22"/>
        </w:rPr>
        <w:t xml:space="preserve"> </w:t>
      </w:r>
      <w:r w:rsidR="00460944" w:rsidRPr="00C96831">
        <w:rPr>
          <w:rFonts w:ascii="Arial" w:hAnsi="Arial" w:cs="Arial"/>
          <w:sz w:val="22"/>
          <w:szCs w:val="22"/>
        </w:rPr>
        <w:t xml:space="preserve">utworzono wydzielony rejestr pod nazwą: </w:t>
      </w:r>
      <w:r w:rsidR="008C50FB">
        <w:rPr>
          <w:rFonts w:ascii="Arial" w:hAnsi="Arial" w:cs="Arial"/>
          <w:b/>
          <w:bCs/>
        </w:rPr>
        <w:t>Ścieżki współpracy</w:t>
      </w:r>
      <w:r w:rsidR="008C50FB">
        <w:rPr>
          <w:rFonts w:ascii="Arial" w:hAnsi="Arial" w:cs="Arial"/>
          <w:b/>
          <w:bCs/>
        </w:rPr>
        <w:t xml:space="preserve"> – ŚW.</w:t>
      </w:r>
    </w:p>
    <w:p w:rsidR="003F4587" w:rsidRPr="00C96831" w:rsidRDefault="00460944" w:rsidP="00AA1FD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C96831">
        <w:rPr>
          <w:rFonts w:ascii="Arial" w:hAnsi="Arial" w:cs="Arial"/>
          <w:sz w:val="22"/>
          <w:szCs w:val="22"/>
        </w:rPr>
        <w:t>Do numeru konta w tabeli poniżej</w:t>
      </w:r>
      <w:r w:rsidR="006412E7" w:rsidRPr="00C96831">
        <w:rPr>
          <w:rFonts w:ascii="Arial" w:hAnsi="Arial" w:cs="Arial"/>
          <w:sz w:val="22"/>
          <w:szCs w:val="22"/>
        </w:rPr>
        <w:t xml:space="preserve"> dodajemy kolejny nr analityki stosownie do </w:t>
      </w:r>
      <w:r w:rsidR="001E20F9" w:rsidRPr="00C96831">
        <w:rPr>
          <w:rFonts w:ascii="Arial" w:hAnsi="Arial" w:cs="Arial"/>
          <w:sz w:val="22"/>
          <w:szCs w:val="22"/>
        </w:rPr>
        <w:t xml:space="preserve">bieżących </w:t>
      </w:r>
      <w:r w:rsidR="006412E7" w:rsidRPr="00C96831">
        <w:rPr>
          <w:rFonts w:ascii="Arial" w:hAnsi="Arial" w:cs="Arial"/>
          <w:sz w:val="22"/>
          <w:szCs w:val="22"/>
        </w:rPr>
        <w:t>potrzeb</w:t>
      </w:r>
      <w:r w:rsidR="001E20F9" w:rsidRPr="00C96831">
        <w:rPr>
          <w:rFonts w:ascii="Arial" w:hAnsi="Arial" w:cs="Arial"/>
          <w:sz w:val="22"/>
          <w:szCs w:val="22"/>
        </w:rPr>
        <w:t xml:space="preserve"> sprawozdawczości i kontroli.</w:t>
      </w:r>
    </w:p>
    <w:p w:rsidR="003F4587" w:rsidRPr="00C96831" w:rsidRDefault="003F4587" w:rsidP="00AA1FD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F4587" w:rsidRPr="00C96831" w:rsidRDefault="00EF1555" w:rsidP="00AA1FD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96831">
        <w:rPr>
          <w:rFonts w:ascii="Arial" w:hAnsi="Arial" w:cs="Arial"/>
          <w:sz w:val="22"/>
          <w:szCs w:val="22"/>
        </w:rPr>
        <w:t>Zasady prowadzenia ewidencji analitycznej p</w:t>
      </w:r>
      <w:r w:rsidR="00C96831">
        <w:rPr>
          <w:rFonts w:ascii="Arial" w:hAnsi="Arial" w:cs="Arial"/>
          <w:sz w:val="22"/>
          <w:szCs w:val="22"/>
        </w:rPr>
        <w:t>rzedstawia poniższe zestawienie: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678"/>
        <w:gridCol w:w="2381"/>
        <w:gridCol w:w="4162"/>
      </w:tblGrid>
      <w:tr w:rsidR="00EF1555" w:rsidRPr="00C96831" w:rsidTr="00116B63">
        <w:tc>
          <w:tcPr>
            <w:tcW w:w="851" w:type="dxa"/>
            <w:shd w:val="clear" w:color="auto" w:fill="B3B3B3"/>
          </w:tcPr>
          <w:p w:rsidR="00EF1555" w:rsidRPr="00C96831" w:rsidRDefault="00EF1555" w:rsidP="006412E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96831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1678" w:type="dxa"/>
            <w:shd w:val="clear" w:color="auto" w:fill="B3B3B3"/>
          </w:tcPr>
          <w:p w:rsidR="00EF1555" w:rsidRPr="00C96831" w:rsidRDefault="00EF1555" w:rsidP="00B358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96831">
              <w:rPr>
                <w:rFonts w:ascii="Arial" w:hAnsi="Arial" w:cs="Arial"/>
                <w:b/>
                <w:sz w:val="20"/>
                <w:szCs w:val="20"/>
              </w:rPr>
              <w:t>Symbol konta syntetycznego</w:t>
            </w:r>
          </w:p>
        </w:tc>
        <w:tc>
          <w:tcPr>
            <w:tcW w:w="2381" w:type="dxa"/>
            <w:shd w:val="clear" w:color="auto" w:fill="B3B3B3"/>
          </w:tcPr>
          <w:p w:rsidR="00EF1555" w:rsidRPr="00C96831" w:rsidRDefault="00EF1555" w:rsidP="00B358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96831">
              <w:rPr>
                <w:rFonts w:ascii="Arial" w:hAnsi="Arial" w:cs="Arial"/>
                <w:b/>
                <w:sz w:val="20"/>
                <w:szCs w:val="20"/>
              </w:rPr>
              <w:t>Nazwa</w:t>
            </w:r>
          </w:p>
        </w:tc>
        <w:tc>
          <w:tcPr>
            <w:tcW w:w="4162" w:type="dxa"/>
            <w:shd w:val="clear" w:color="auto" w:fill="B3B3B3"/>
          </w:tcPr>
          <w:p w:rsidR="00EF1555" w:rsidRPr="00C96831" w:rsidRDefault="00EF1555" w:rsidP="00B358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96831">
              <w:rPr>
                <w:rFonts w:ascii="Arial" w:hAnsi="Arial" w:cs="Arial"/>
                <w:b/>
                <w:sz w:val="20"/>
                <w:szCs w:val="20"/>
              </w:rPr>
              <w:t>Opis ksiąg analitycznych (ewidencji szczegółowej) i inne uwagi</w:t>
            </w:r>
          </w:p>
        </w:tc>
      </w:tr>
      <w:tr w:rsidR="009A7CCC" w:rsidRPr="00C96831" w:rsidTr="00116B63">
        <w:tc>
          <w:tcPr>
            <w:tcW w:w="851" w:type="dxa"/>
            <w:shd w:val="clear" w:color="auto" w:fill="auto"/>
          </w:tcPr>
          <w:p w:rsidR="009A7CCC" w:rsidRPr="00C96831" w:rsidRDefault="009A7CCC" w:rsidP="00B358D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78" w:type="dxa"/>
            <w:shd w:val="clear" w:color="auto" w:fill="auto"/>
          </w:tcPr>
          <w:p w:rsidR="009A7CCC" w:rsidRPr="00C96831" w:rsidRDefault="009A7CCC" w:rsidP="00B358D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96831">
              <w:rPr>
                <w:rFonts w:ascii="Arial" w:hAnsi="Arial" w:cs="Arial"/>
                <w:b/>
                <w:sz w:val="16"/>
                <w:szCs w:val="16"/>
              </w:rPr>
              <w:t>1.</w:t>
            </w:r>
          </w:p>
        </w:tc>
        <w:tc>
          <w:tcPr>
            <w:tcW w:w="2381" w:type="dxa"/>
            <w:shd w:val="clear" w:color="auto" w:fill="auto"/>
          </w:tcPr>
          <w:p w:rsidR="009A7CCC" w:rsidRPr="00C96831" w:rsidRDefault="009A7CCC" w:rsidP="00B358D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96831">
              <w:rPr>
                <w:rFonts w:ascii="Arial" w:hAnsi="Arial" w:cs="Arial"/>
                <w:b/>
                <w:sz w:val="16"/>
                <w:szCs w:val="16"/>
              </w:rPr>
              <w:t>2.</w:t>
            </w:r>
          </w:p>
        </w:tc>
        <w:tc>
          <w:tcPr>
            <w:tcW w:w="4162" w:type="dxa"/>
            <w:shd w:val="clear" w:color="auto" w:fill="auto"/>
          </w:tcPr>
          <w:p w:rsidR="009A7CCC" w:rsidRPr="00C96831" w:rsidRDefault="009A7CCC" w:rsidP="00B358D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96831">
              <w:rPr>
                <w:rFonts w:ascii="Arial" w:hAnsi="Arial" w:cs="Arial"/>
                <w:b/>
                <w:sz w:val="16"/>
                <w:szCs w:val="16"/>
              </w:rPr>
              <w:t>3.</w:t>
            </w:r>
          </w:p>
        </w:tc>
      </w:tr>
      <w:tr w:rsidR="00823192" w:rsidRPr="00C96831" w:rsidTr="00116B63">
        <w:tc>
          <w:tcPr>
            <w:tcW w:w="851" w:type="dxa"/>
            <w:shd w:val="clear" w:color="auto" w:fill="auto"/>
          </w:tcPr>
          <w:p w:rsidR="00823192" w:rsidRPr="00C96831" w:rsidRDefault="00D23AE6" w:rsidP="00D23AE6">
            <w:pPr>
              <w:pStyle w:val="Akapitzlist"/>
              <w:numPr>
                <w:ilvl w:val="0"/>
                <w:numId w:val="19"/>
              </w:numPr>
              <w:rPr>
                <w:rFonts w:ascii="Arial" w:hAnsi="Arial" w:cs="Arial"/>
                <w:sz w:val="22"/>
                <w:szCs w:val="22"/>
              </w:rPr>
            </w:pPr>
            <w:r w:rsidRPr="00C96831">
              <w:rPr>
                <w:rFonts w:ascii="Arial" w:hAnsi="Arial" w:cs="Arial"/>
                <w:sz w:val="22"/>
                <w:szCs w:val="22"/>
              </w:rPr>
              <w:t>4</w:t>
            </w:r>
            <w:r w:rsidR="00823192" w:rsidRPr="00C96831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678" w:type="dxa"/>
            <w:shd w:val="clear" w:color="auto" w:fill="auto"/>
          </w:tcPr>
          <w:p w:rsidR="00823192" w:rsidRPr="002F76BA" w:rsidRDefault="00823192" w:rsidP="008231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76BA">
              <w:rPr>
                <w:rFonts w:ascii="Arial" w:hAnsi="Arial" w:cs="Arial"/>
                <w:sz w:val="22"/>
                <w:szCs w:val="22"/>
              </w:rPr>
              <w:t>130</w:t>
            </w:r>
            <w:r w:rsidR="00B7066C" w:rsidRPr="002F76BA">
              <w:rPr>
                <w:rFonts w:ascii="Arial" w:hAnsi="Arial" w:cs="Arial"/>
                <w:sz w:val="22"/>
                <w:szCs w:val="22"/>
              </w:rPr>
              <w:t>-2-</w:t>
            </w:r>
            <w:r w:rsidR="00896CC7" w:rsidRPr="002F76BA">
              <w:rPr>
                <w:rFonts w:ascii="Arial" w:hAnsi="Arial" w:cs="Arial"/>
                <w:sz w:val="22"/>
                <w:szCs w:val="22"/>
              </w:rPr>
              <w:t>21</w:t>
            </w:r>
          </w:p>
          <w:p w:rsidR="00EF3C52" w:rsidRPr="00C96831" w:rsidRDefault="00EF3C52" w:rsidP="006412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81" w:type="dxa"/>
            <w:shd w:val="clear" w:color="auto" w:fill="auto"/>
          </w:tcPr>
          <w:p w:rsidR="00823192" w:rsidRPr="00C96831" w:rsidRDefault="007F0CEA" w:rsidP="00823192">
            <w:pPr>
              <w:rPr>
                <w:rFonts w:ascii="Arial" w:hAnsi="Arial" w:cs="Arial"/>
                <w:sz w:val="22"/>
                <w:szCs w:val="22"/>
              </w:rPr>
            </w:pPr>
            <w:r w:rsidRPr="00C96831">
              <w:rPr>
                <w:rFonts w:ascii="Arial" w:hAnsi="Arial" w:cs="Arial"/>
                <w:sz w:val="22"/>
                <w:szCs w:val="22"/>
              </w:rPr>
              <w:t>Rachunek bieżący jednostki</w:t>
            </w:r>
          </w:p>
        </w:tc>
        <w:tc>
          <w:tcPr>
            <w:tcW w:w="4162" w:type="dxa"/>
            <w:shd w:val="clear" w:color="auto" w:fill="auto"/>
          </w:tcPr>
          <w:p w:rsidR="00823192" w:rsidRPr="00C96831" w:rsidRDefault="007F0CEA" w:rsidP="0016481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6831">
              <w:rPr>
                <w:rFonts w:ascii="Arial" w:hAnsi="Arial" w:cs="Arial"/>
                <w:sz w:val="22"/>
                <w:szCs w:val="22"/>
              </w:rPr>
              <w:t xml:space="preserve">Służy do ewidencji stanu środków pieniężnych oraz obrotów na rachunku bankowym z tytułu wydatków i dochodów (wpływów). Są dokonywane na podstawie dokumentów bankowych. Na stronie </w:t>
            </w:r>
            <w:proofErr w:type="spellStart"/>
            <w:r w:rsidRPr="00C96831">
              <w:rPr>
                <w:rFonts w:ascii="Arial" w:hAnsi="Arial" w:cs="Arial"/>
                <w:sz w:val="22"/>
                <w:szCs w:val="22"/>
              </w:rPr>
              <w:t>Wn</w:t>
            </w:r>
            <w:proofErr w:type="spellEnd"/>
            <w:r w:rsidRPr="00C96831">
              <w:rPr>
                <w:rFonts w:ascii="Arial" w:hAnsi="Arial" w:cs="Arial"/>
                <w:sz w:val="22"/>
                <w:szCs w:val="22"/>
              </w:rPr>
              <w:t xml:space="preserve"> konta 130 ujmuje się wpływy środków pieniężnych otrzymanych na realizację wydatków budżetowych w korespondencji z kontem 223. Na stronie </w:t>
            </w:r>
            <w:r w:rsidRPr="00C96831">
              <w:rPr>
                <w:rFonts w:ascii="Arial" w:hAnsi="Arial" w:cs="Arial"/>
                <w:sz w:val="22"/>
                <w:szCs w:val="22"/>
              </w:rPr>
              <w:lastRenderedPageBreak/>
              <w:t>Ma konta 130 ujmuje się zrealizowane wydatki budżetowe zgodnie z planem finansowym jednostki.</w:t>
            </w:r>
          </w:p>
          <w:p w:rsidR="00B25961" w:rsidRPr="00C96831" w:rsidRDefault="00C43AFA" w:rsidP="00C64E5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6831">
              <w:rPr>
                <w:rFonts w:ascii="Arial" w:hAnsi="Arial" w:cs="Arial"/>
                <w:sz w:val="22"/>
                <w:szCs w:val="22"/>
              </w:rPr>
              <w:t xml:space="preserve">Konto </w:t>
            </w:r>
            <w:r w:rsidRPr="002F76BA">
              <w:rPr>
                <w:rFonts w:ascii="Arial" w:hAnsi="Arial" w:cs="Arial"/>
                <w:sz w:val="22"/>
                <w:szCs w:val="22"/>
              </w:rPr>
              <w:t>130-2</w:t>
            </w:r>
            <w:r w:rsidR="00B25961" w:rsidRPr="002F76BA">
              <w:rPr>
                <w:rFonts w:ascii="Arial" w:hAnsi="Arial" w:cs="Arial"/>
                <w:sz w:val="22"/>
                <w:szCs w:val="22"/>
              </w:rPr>
              <w:t>-</w:t>
            </w:r>
            <w:r w:rsidR="00896CC7" w:rsidRPr="002F76BA">
              <w:rPr>
                <w:rFonts w:ascii="Arial" w:hAnsi="Arial" w:cs="Arial"/>
                <w:sz w:val="22"/>
                <w:szCs w:val="22"/>
              </w:rPr>
              <w:t>21</w:t>
            </w:r>
            <w:r w:rsidR="00C64E59" w:rsidRPr="002F76BA">
              <w:rPr>
                <w:rFonts w:ascii="Arial" w:hAnsi="Arial" w:cs="Arial"/>
                <w:sz w:val="22"/>
                <w:szCs w:val="22"/>
              </w:rPr>
              <w:t>-1</w:t>
            </w:r>
            <w:r w:rsidR="00B7066C" w:rsidRPr="002F76B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25961" w:rsidRPr="00C96831">
              <w:rPr>
                <w:rFonts w:ascii="Arial" w:hAnsi="Arial" w:cs="Arial"/>
                <w:sz w:val="22"/>
                <w:szCs w:val="22"/>
              </w:rPr>
              <w:t>służy do ewidencji wpływu środków pieniężnych na wyodrębniony rachunek Projektu na realizację wydatków w kores</w:t>
            </w:r>
            <w:r w:rsidRPr="00C96831">
              <w:rPr>
                <w:rFonts w:ascii="Arial" w:hAnsi="Arial" w:cs="Arial"/>
                <w:sz w:val="22"/>
                <w:szCs w:val="22"/>
              </w:rPr>
              <w:t xml:space="preserve">pondencji z kontem  Ma </w:t>
            </w:r>
            <w:r w:rsidRPr="00355F35">
              <w:rPr>
                <w:rFonts w:ascii="Arial" w:hAnsi="Arial" w:cs="Arial"/>
                <w:sz w:val="22"/>
                <w:szCs w:val="22"/>
              </w:rPr>
              <w:t>223-</w:t>
            </w:r>
            <w:r w:rsidR="00896CC7">
              <w:rPr>
                <w:rFonts w:ascii="Arial" w:hAnsi="Arial" w:cs="Arial"/>
                <w:sz w:val="22"/>
                <w:szCs w:val="22"/>
              </w:rPr>
              <w:t>1-</w:t>
            </w:r>
            <w:r w:rsidR="00355F35" w:rsidRPr="00355F35">
              <w:rPr>
                <w:rFonts w:ascii="Arial" w:hAnsi="Arial" w:cs="Arial"/>
                <w:sz w:val="22"/>
                <w:szCs w:val="22"/>
              </w:rPr>
              <w:t>2</w:t>
            </w:r>
            <w:r w:rsidR="00896CC7">
              <w:rPr>
                <w:rFonts w:ascii="Arial" w:hAnsi="Arial" w:cs="Arial"/>
                <w:sz w:val="22"/>
                <w:szCs w:val="22"/>
              </w:rPr>
              <w:t>1</w:t>
            </w:r>
            <w:r w:rsidRPr="00355F35">
              <w:rPr>
                <w:rFonts w:ascii="Arial" w:hAnsi="Arial" w:cs="Arial"/>
                <w:sz w:val="22"/>
                <w:szCs w:val="22"/>
              </w:rPr>
              <w:t>.</w:t>
            </w:r>
            <w:r w:rsidRPr="00C96831">
              <w:rPr>
                <w:rFonts w:ascii="Arial" w:hAnsi="Arial" w:cs="Arial"/>
                <w:sz w:val="22"/>
                <w:szCs w:val="22"/>
              </w:rPr>
              <w:t xml:space="preserve"> Na stronie Ma konta 130-2</w:t>
            </w:r>
            <w:r w:rsidR="00B25961" w:rsidRPr="00C96831">
              <w:rPr>
                <w:rFonts w:ascii="Arial" w:hAnsi="Arial" w:cs="Arial"/>
                <w:sz w:val="22"/>
                <w:szCs w:val="22"/>
              </w:rPr>
              <w:t>-</w:t>
            </w:r>
            <w:r w:rsidR="00C64E59">
              <w:rPr>
                <w:rFonts w:ascii="Arial" w:hAnsi="Arial" w:cs="Arial"/>
                <w:sz w:val="22"/>
                <w:szCs w:val="22"/>
              </w:rPr>
              <w:t>2</w:t>
            </w:r>
            <w:r w:rsidR="00896CC7">
              <w:rPr>
                <w:rFonts w:ascii="Arial" w:hAnsi="Arial" w:cs="Arial"/>
                <w:sz w:val="22"/>
                <w:szCs w:val="22"/>
              </w:rPr>
              <w:t>1</w:t>
            </w:r>
            <w:r w:rsidR="00C64E59">
              <w:rPr>
                <w:rFonts w:ascii="Arial" w:hAnsi="Arial" w:cs="Arial"/>
                <w:sz w:val="22"/>
                <w:szCs w:val="22"/>
              </w:rPr>
              <w:t xml:space="preserve">-2 </w:t>
            </w:r>
            <w:r w:rsidR="00B25961" w:rsidRPr="00C96831">
              <w:rPr>
                <w:rFonts w:ascii="Arial" w:hAnsi="Arial" w:cs="Arial"/>
                <w:sz w:val="22"/>
                <w:szCs w:val="22"/>
              </w:rPr>
              <w:t>ujmuje się zrealizowane wydatki zgodnie z planem b</w:t>
            </w:r>
            <w:r w:rsidR="00896CC7">
              <w:rPr>
                <w:rFonts w:ascii="Arial" w:hAnsi="Arial" w:cs="Arial"/>
                <w:sz w:val="22"/>
                <w:szCs w:val="22"/>
              </w:rPr>
              <w:t>udżetu Projektu. Konto 130-2-</w:t>
            </w:r>
            <w:r w:rsidR="00C64E59">
              <w:rPr>
                <w:rFonts w:ascii="Arial" w:hAnsi="Arial" w:cs="Arial"/>
                <w:sz w:val="22"/>
                <w:szCs w:val="22"/>
              </w:rPr>
              <w:t>2</w:t>
            </w:r>
            <w:r w:rsidR="00896CC7">
              <w:rPr>
                <w:rFonts w:ascii="Arial" w:hAnsi="Arial" w:cs="Arial"/>
                <w:sz w:val="22"/>
                <w:szCs w:val="22"/>
              </w:rPr>
              <w:t>1</w:t>
            </w:r>
            <w:r w:rsidRPr="00C96831">
              <w:rPr>
                <w:rFonts w:ascii="Arial" w:hAnsi="Arial" w:cs="Arial"/>
                <w:sz w:val="22"/>
                <w:szCs w:val="22"/>
              </w:rPr>
              <w:t>-6</w:t>
            </w:r>
            <w:r w:rsidR="00B25961" w:rsidRPr="00C96831">
              <w:rPr>
                <w:rFonts w:ascii="Arial" w:hAnsi="Arial" w:cs="Arial"/>
                <w:sz w:val="22"/>
                <w:szCs w:val="22"/>
              </w:rPr>
              <w:t xml:space="preserve"> służy do ewidencji odsetek bankowych i innych zdarzeń, np. wpływy do wyjaśnienia, w korespondencji z kontem 24</w:t>
            </w:r>
            <w:r w:rsidRPr="00C96831">
              <w:rPr>
                <w:rFonts w:ascii="Arial" w:hAnsi="Arial" w:cs="Arial"/>
                <w:sz w:val="22"/>
                <w:szCs w:val="22"/>
              </w:rPr>
              <w:t>5-11</w:t>
            </w:r>
          </w:p>
        </w:tc>
      </w:tr>
      <w:tr w:rsidR="00823192" w:rsidRPr="00C96831" w:rsidTr="00116B63">
        <w:trPr>
          <w:trHeight w:val="1164"/>
        </w:trPr>
        <w:tc>
          <w:tcPr>
            <w:tcW w:w="851" w:type="dxa"/>
            <w:shd w:val="clear" w:color="auto" w:fill="auto"/>
          </w:tcPr>
          <w:p w:rsidR="00D23AE6" w:rsidRPr="00C96831" w:rsidRDefault="00D23AE6" w:rsidP="00D23AE6">
            <w:pPr>
              <w:pStyle w:val="Akapitzlist"/>
              <w:numPr>
                <w:ilvl w:val="0"/>
                <w:numId w:val="19"/>
              </w:numPr>
              <w:rPr>
                <w:rFonts w:ascii="Arial" w:hAnsi="Arial" w:cs="Arial"/>
                <w:sz w:val="22"/>
                <w:szCs w:val="22"/>
              </w:rPr>
            </w:pPr>
            <w:r w:rsidRPr="00C96831">
              <w:rPr>
                <w:rFonts w:ascii="Arial" w:hAnsi="Arial" w:cs="Arial"/>
                <w:sz w:val="22"/>
                <w:szCs w:val="22"/>
              </w:rPr>
              <w:lastRenderedPageBreak/>
              <w:t>5</w:t>
            </w:r>
          </w:p>
          <w:p w:rsidR="00823192" w:rsidRPr="00C96831" w:rsidRDefault="00823192" w:rsidP="009E0D49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78" w:type="dxa"/>
            <w:shd w:val="clear" w:color="auto" w:fill="auto"/>
          </w:tcPr>
          <w:p w:rsidR="00823192" w:rsidRPr="00C96831" w:rsidRDefault="00823192" w:rsidP="004360B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6831">
              <w:rPr>
                <w:rFonts w:ascii="Arial" w:hAnsi="Arial" w:cs="Arial"/>
                <w:sz w:val="22"/>
                <w:szCs w:val="22"/>
              </w:rPr>
              <w:t>201</w:t>
            </w:r>
            <w:r w:rsidR="00460944" w:rsidRPr="00C96831">
              <w:rPr>
                <w:rFonts w:ascii="Arial" w:hAnsi="Arial" w:cs="Arial"/>
                <w:sz w:val="22"/>
                <w:szCs w:val="22"/>
              </w:rPr>
              <w:t>-1</w:t>
            </w:r>
          </w:p>
        </w:tc>
        <w:tc>
          <w:tcPr>
            <w:tcW w:w="2381" w:type="dxa"/>
            <w:shd w:val="clear" w:color="auto" w:fill="auto"/>
          </w:tcPr>
          <w:p w:rsidR="00823192" w:rsidRPr="00C96831" w:rsidRDefault="007F0CEA" w:rsidP="00823192">
            <w:pPr>
              <w:rPr>
                <w:rFonts w:ascii="Arial" w:hAnsi="Arial" w:cs="Arial"/>
                <w:sz w:val="22"/>
                <w:szCs w:val="22"/>
              </w:rPr>
            </w:pPr>
            <w:r w:rsidRPr="00C96831">
              <w:rPr>
                <w:rFonts w:ascii="Arial" w:hAnsi="Arial" w:cs="Arial"/>
                <w:sz w:val="22"/>
                <w:szCs w:val="22"/>
              </w:rPr>
              <w:t>Rozrachunki z odbiorcami i dostawcami</w:t>
            </w:r>
          </w:p>
        </w:tc>
        <w:tc>
          <w:tcPr>
            <w:tcW w:w="4162" w:type="dxa"/>
            <w:shd w:val="clear" w:color="auto" w:fill="auto"/>
          </w:tcPr>
          <w:p w:rsidR="00823192" w:rsidRPr="00C96831" w:rsidRDefault="007F0CEA" w:rsidP="0016481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6831">
              <w:rPr>
                <w:rFonts w:ascii="Arial" w:hAnsi="Arial" w:cs="Arial"/>
                <w:sz w:val="22"/>
                <w:szCs w:val="22"/>
              </w:rPr>
              <w:t>Służy do ewidencji rozrachunków z tytułu dostaw, robót i usług. Konto 201 obciąża się za powstałe należności</w:t>
            </w:r>
            <w:r w:rsidR="00C40C83" w:rsidRPr="00C96831">
              <w:rPr>
                <w:rFonts w:ascii="Arial" w:hAnsi="Arial" w:cs="Arial"/>
                <w:sz w:val="22"/>
                <w:szCs w:val="22"/>
              </w:rPr>
              <w:t xml:space="preserve"> oraz za spłatę i zmniejszenie zobowiązań</w:t>
            </w:r>
            <w:r w:rsidRPr="00C96831">
              <w:rPr>
                <w:rFonts w:ascii="Arial" w:hAnsi="Arial" w:cs="Arial"/>
                <w:sz w:val="22"/>
                <w:szCs w:val="22"/>
              </w:rPr>
              <w:t>, a uznaje za</w:t>
            </w:r>
            <w:r w:rsidR="00C40C83" w:rsidRPr="00C96831">
              <w:rPr>
                <w:rFonts w:ascii="Arial" w:hAnsi="Arial" w:cs="Arial"/>
                <w:sz w:val="22"/>
                <w:szCs w:val="22"/>
              </w:rPr>
              <w:t xml:space="preserve"> powstałe zobowiązania oraz spłatę i  </w:t>
            </w:r>
            <w:r w:rsidRPr="00C96831">
              <w:rPr>
                <w:rFonts w:ascii="Arial" w:hAnsi="Arial" w:cs="Arial"/>
                <w:sz w:val="22"/>
                <w:szCs w:val="22"/>
              </w:rPr>
              <w:t xml:space="preserve"> zmniejszenie należności. Ewidencję analityczną prowadzi się wg poszczególnych kontrahentów oraz według klasyfikacji budżetowej.</w:t>
            </w:r>
          </w:p>
        </w:tc>
      </w:tr>
      <w:tr w:rsidR="00823192" w:rsidRPr="00C96831" w:rsidTr="00116B63">
        <w:tc>
          <w:tcPr>
            <w:tcW w:w="851" w:type="dxa"/>
            <w:shd w:val="clear" w:color="auto" w:fill="auto"/>
          </w:tcPr>
          <w:p w:rsidR="00823192" w:rsidRPr="00C96831" w:rsidRDefault="00D23AE6" w:rsidP="00D23AE6">
            <w:pPr>
              <w:pStyle w:val="Akapitzlist"/>
              <w:numPr>
                <w:ilvl w:val="0"/>
                <w:numId w:val="19"/>
              </w:numPr>
              <w:rPr>
                <w:rFonts w:ascii="Arial" w:hAnsi="Arial" w:cs="Arial"/>
                <w:sz w:val="22"/>
                <w:szCs w:val="22"/>
              </w:rPr>
            </w:pPr>
            <w:r w:rsidRPr="00C96831">
              <w:rPr>
                <w:rFonts w:ascii="Arial" w:hAnsi="Arial" w:cs="Arial"/>
                <w:sz w:val="22"/>
                <w:szCs w:val="22"/>
              </w:rPr>
              <w:t>6</w:t>
            </w:r>
            <w:r w:rsidR="00823192" w:rsidRPr="00C96831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678" w:type="dxa"/>
            <w:shd w:val="clear" w:color="auto" w:fill="auto"/>
          </w:tcPr>
          <w:p w:rsidR="00823192" w:rsidRPr="00C96831" w:rsidRDefault="00823192" w:rsidP="007D1C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76BA">
              <w:rPr>
                <w:rFonts w:ascii="Arial" w:hAnsi="Arial" w:cs="Arial"/>
                <w:sz w:val="22"/>
                <w:szCs w:val="22"/>
              </w:rPr>
              <w:t>223</w:t>
            </w:r>
            <w:r w:rsidR="00211512" w:rsidRPr="002F76BA">
              <w:rPr>
                <w:rFonts w:ascii="Arial" w:hAnsi="Arial" w:cs="Arial"/>
                <w:sz w:val="22"/>
                <w:szCs w:val="22"/>
              </w:rPr>
              <w:t>-</w:t>
            </w:r>
            <w:r w:rsidR="00896CC7" w:rsidRPr="002F76BA"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2381" w:type="dxa"/>
            <w:shd w:val="clear" w:color="auto" w:fill="auto"/>
          </w:tcPr>
          <w:p w:rsidR="00823192" w:rsidRPr="00C96831" w:rsidRDefault="00823192" w:rsidP="00823192">
            <w:pPr>
              <w:rPr>
                <w:rFonts w:ascii="Arial" w:hAnsi="Arial" w:cs="Arial"/>
                <w:sz w:val="22"/>
                <w:szCs w:val="22"/>
              </w:rPr>
            </w:pPr>
            <w:r w:rsidRPr="00C96831">
              <w:rPr>
                <w:rFonts w:ascii="Arial" w:hAnsi="Arial" w:cs="Arial"/>
                <w:sz w:val="22"/>
                <w:szCs w:val="22"/>
              </w:rPr>
              <w:t>Rozliczenie wydatków budżetowych</w:t>
            </w:r>
          </w:p>
        </w:tc>
        <w:tc>
          <w:tcPr>
            <w:tcW w:w="4162" w:type="dxa"/>
            <w:shd w:val="clear" w:color="auto" w:fill="auto"/>
          </w:tcPr>
          <w:p w:rsidR="00823192" w:rsidRPr="00C96831" w:rsidRDefault="00051F9A" w:rsidP="009851C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6831">
              <w:rPr>
                <w:rFonts w:ascii="Arial" w:hAnsi="Arial" w:cs="Arial"/>
                <w:sz w:val="22"/>
                <w:szCs w:val="22"/>
              </w:rPr>
              <w:t xml:space="preserve">Służy do ewidencji rozliczenia zrealizowanych przez jednostkę wydatków budżetowych. Na stronie Ma konta 223 ujmuje się wpływy środków pieniężnych otrzymanych na pokrycie wydatków budżetowych w </w:t>
            </w:r>
            <w:r w:rsidRPr="00EB7632">
              <w:rPr>
                <w:rFonts w:ascii="Arial" w:hAnsi="Arial" w:cs="Arial"/>
                <w:sz w:val="22"/>
                <w:szCs w:val="22"/>
              </w:rPr>
              <w:t xml:space="preserve">korespondencji z kontem 130. Na stronie </w:t>
            </w:r>
            <w:proofErr w:type="spellStart"/>
            <w:r w:rsidRPr="00EB7632">
              <w:rPr>
                <w:rFonts w:ascii="Arial" w:hAnsi="Arial" w:cs="Arial"/>
                <w:sz w:val="22"/>
                <w:szCs w:val="22"/>
              </w:rPr>
              <w:t>Wn</w:t>
            </w:r>
            <w:proofErr w:type="spellEnd"/>
            <w:r w:rsidRPr="00EB7632">
              <w:rPr>
                <w:rFonts w:ascii="Arial" w:hAnsi="Arial" w:cs="Arial"/>
                <w:sz w:val="22"/>
                <w:szCs w:val="22"/>
              </w:rPr>
              <w:t xml:space="preserve"> konta 223 ujmuje się roczne przeniesienia na podstawie sprawozdania Rb28S zrealizowanych wydatków budżetowych na konto 800.</w:t>
            </w:r>
          </w:p>
        </w:tc>
      </w:tr>
      <w:tr w:rsidR="00F36A04" w:rsidRPr="00C96831" w:rsidTr="002F76BA">
        <w:trPr>
          <w:trHeight w:val="546"/>
        </w:trPr>
        <w:tc>
          <w:tcPr>
            <w:tcW w:w="851" w:type="dxa"/>
            <w:shd w:val="clear" w:color="auto" w:fill="auto"/>
          </w:tcPr>
          <w:p w:rsidR="00F36A04" w:rsidRPr="00C96831" w:rsidRDefault="00F36A04" w:rsidP="00D23AE6">
            <w:pPr>
              <w:pStyle w:val="Akapitzlist"/>
              <w:numPr>
                <w:ilvl w:val="0"/>
                <w:numId w:val="19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78" w:type="dxa"/>
            <w:shd w:val="clear" w:color="auto" w:fill="auto"/>
          </w:tcPr>
          <w:p w:rsidR="00F36A04" w:rsidRPr="00C96831" w:rsidRDefault="00F36A04" w:rsidP="008231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6831">
              <w:rPr>
                <w:rFonts w:ascii="Arial" w:hAnsi="Arial" w:cs="Arial"/>
                <w:sz w:val="22"/>
                <w:szCs w:val="22"/>
              </w:rPr>
              <w:t>245-11</w:t>
            </w:r>
          </w:p>
        </w:tc>
        <w:tc>
          <w:tcPr>
            <w:tcW w:w="2381" w:type="dxa"/>
            <w:shd w:val="clear" w:color="auto" w:fill="auto"/>
          </w:tcPr>
          <w:p w:rsidR="00F36A04" w:rsidRPr="00C96831" w:rsidRDefault="007D1C85" w:rsidP="00823192">
            <w:pPr>
              <w:rPr>
                <w:rFonts w:ascii="Arial" w:hAnsi="Arial" w:cs="Arial"/>
                <w:sz w:val="22"/>
                <w:szCs w:val="22"/>
              </w:rPr>
            </w:pPr>
            <w:r w:rsidRPr="00C96831">
              <w:rPr>
                <w:rFonts w:ascii="Arial" w:hAnsi="Arial" w:cs="Arial"/>
                <w:sz w:val="22"/>
                <w:szCs w:val="22"/>
              </w:rPr>
              <w:t>Wpływy do wyjaśnienia</w:t>
            </w:r>
          </w:p>
        </w:tc>
        <w:tc>
          <w:tcPr>
            <w:tcW w:w="4162" w:type="dxa"/>
            <w:shd w:val="clear" w:color="auto" w:fill="auto"/>
          </w:tcPr>
          <w:p w:rsidR="00F36A04" w:rsidRPr="002F76BA" w:rsidRDefault="000717A8" w:rsidP="002F76B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6831">
              <w:rPr>
                <w:rFonts w:ascii="Arial" w:hAnsi="Arial" w:cs="Arial"/>
                <w:sz w:val="22"/>
                <w:szCs w:val="22"/>
              </w:rPr>
              <w:t xml:space="preserve">Służy do ewidencji </w:t>
            </w:r>
            <w:r w:rsidR="00DB415C" w:rsidRPr="00C96831">
              <w:rPr>
                <w:rFonts w:ascii="Arial" w:hAnsi="Arial" w:cs="Arial"/>
                <w:sz w:val="22"/>
                <w:szCs w:val="22"/>
              </w:rPr>
              <w:t>wpływów do wyjaśnieni</w:t>
            </w:r>
            <w:r w:rsidR="002F76BA">
              <w:rPr>
                <w:rFonts w:ascii="Arial" w:hAnsi="Arial" w:cs="Arial"/>
                <w:sz w:val="22"/>
                <w:szCs w:val="22"/>
              </w:rPr>
              <w:t>a.</w:t>
            </w:r>
          </w:p>
        </w:tc>
      </w:tr>
      <w:tr w:rsidR="0023364A" w:rsidRPr="00C96831" w:rsidTr="002F76BA">
        <w:trPr>
          <w:trHeight w:val="1973"/>
        </w:trPr>
        <w:tc>
          <w:tcPr>
            <w:tcW w:w="851" w:type="dxa"/>
            <w:shd w:val="clear" w:color="auto" w:fill="auto"/>
          </w:tcPr>
          <w:p w:rsidR="0023364A" w:rsidRPr="00C96831" w:rsidRDefault="00476A91" w:rsidP="00D23AE6">
            <w:pPr>
              <w:pStyle w:val="Akapitzlist"/>
              <w:numPr>
                <w:ilvl w:val="0"/>
                <w:numId w:val="19"/>
              </w:numPr>
              <w:rPr>
                <w:rFonts w:ascii="Arial" w:hAnsi="Arial" w:cs="Arial"/>
                <w:sz w:val="22"/>
                <w:szCs w:val="22"/>
              </w:rPr>
            </w:pPr>
            <w:r w:rsidRPr="00C96831">
              <w:rPr>
                <w:rFonts w:ascii="Arial" w:hAnsi="Arial" w:cs="Arial"/>
                <w:sz w:val="22"/>
                <w:szCs w:val="22"/>
              </w:rPr>
              <w:t>11</w:t>
            </w:r>
            <w:r w:rsidR="0023364A" w:rsidRPr="00C96831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23364A" w:rsidRPr="00C96831" w:rsidRDefault="0023364A" w:rsidP="0082319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78" w:type="dxa"/>
            <w:shd w:val="clear" w:color="auto" w:fill="auto"/>
          </w:tcPr>
          <w:p w:rsidR="0023364A" w:rsidRPr="00C96831" w:rsidRDefault="000717A8" w:rsidP="004360B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6831">
              <w:rPr>
                <w:rFonts w:ascii="Arial" w:hAnsi="Arial" w:cs="Arial"/>
                <w:sz w:val="22"/>
                <w:szCs w:val="22"/>
              </w:rPr>
              <w:t>401</w:t>
            </w:r>
          </w:p>
        </w:tc>
        <w:tc>
          <w:tcPr>
            <w:tcW w:w="2381" w:type="dxa"/>
            <w:shd w:val="clear" w:color="auto" w:fill="auto"/>
          </w:tcPr>
          <w:p w:rsidR="0023364A" w:rsidRPr="00C96831" w:rsidRDefault="00694A6F" w:rsidP="00823192">
            <w:pPr>
              <w:rPr>
                <w:rFonts w:ascii="Arial" w:hAnsi="Arial" w:cs="Arial"/>
                <w:sz w:val="22"/>
                <w:szCs w:val="22"/>
              </w:rPr>
            </w:pPr>
            <w:r w:rsidRPr="00C96831">
              <w:rPr>
                <w:rFonts w:ascii="Arial" w:hAnsi="Arial" w:cs="Arial"/>
                <w:sz w:val="22"/>
                <w:szCs w:val="22"/>
              </w:rPr>
              <w:t>Zużycie materiałów i energii</w:t>
            </w:r>
          </w:p>
        </w:tc>
        <w:tc>
          <w:tcPr>
            <w:tcW w:w="4162" w:type="dxa"/>
            <w:shd w:val="clear" w:color="auto" w:fill="auto"/>
          </w:tcPr>
          <w:p w:rsidR="0023364A" w:rsidRPr="00C96831" w:rsidRDefault="00694A6F" w:rsidP="009C3AD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6831">
              <w:rPr>
                <w:rFonts w:ascii="Arial" w:hAnsi="Arial" w:cs="Arial"/>
                <w:sz w:val="22"/>
                <w:szCs w:val="22"/>
              </w:rPr>
              <w:t xml:space="preserve">Służy do ewidencji kosztów zużycia materiałów i energii związanych z projektem. Na stronie </w:t>
            </w:r>
            <w:proofErr w:type="spellStart"/>
            <w:r w:rsidRPr="00C96831">
              <w:rPr>
                <w:rFonts w:ascii="Arial" w:hAnsi="Arial" w:cs="Arial"/>
                <w:sz w:val="22"/>
                <w:szCs w:val="22"/>
              </w:rPr>
              <w:t>Wn</w:t>
            </w:r>
            <w:proofErr w:type="spellEnd"/>
            <w:r w:rsidRPr="00C96831">
              <w:rPr>
                <w:rFonts w:ascii="Arial" w:hAnsi="Arial" w:cs="Arial"/>
                <w:sz w:val="22"/>
                <w:szCs w:val="22"/>
              </w:rPr>
              <w:t xml:space="preserve"> konta 401 ujmuje się poniesione koszty z ww. tytułów, na stronie Ma konta 401 na dzień bilansowy ujmuje się przeniesienie salda poniesionych w ciągu roku kosztów na konto 860. </w:t>
            </w:r>
          </w:p>
        </w:tc>
      </w:tr>
      <w:tr w:rsidR="0003096E" w:rsidRPr="0003096E" w:rsidTr="002F76BA">
        <w:trPr>
          <w:trHeight w:val="70"/>
        </w:trPr>
        <w:tc>
          <w:tcPr>
            <w:tcW w:w="851" w:type="dxa"/>
            <w:shd w:val="clear" w:color="auto" w:fill="auto"/>
          </w:tcPr>
          <w:p w:rsidR="0003096E" w:rsidRPr="0003096E" w:rsidRDefault="0003096E" w:rsidP="00D23AE6">
            <w:pPr>
              <w:pStyle w:val="Akapitzlist"/>
              <w:numPr>
                <w:ilvl w:val="0"/>
                <w:numId w:val="19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78" w:type="dxa"/>
            <w:shd w:val="clear" w:color="auto" w:fill="auto"/>
          </w:tcPr>
          <w:p w:rsidR="0003096E" w:rsidRPr="0003096E" w:rsidRDefault="0003096E" w:rsidP="004360B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096E">
              <w:rPr>
                <w:rFonts w:ascii="Arial" w:hAnsi="Arial" w:cs="Arial"/>
                <w:sz w:val="22"/>
                <w:szCs w:val="22"/>
              </w:rPr>
              <w:t>402</w:t>
            </w:r>
          </w:p>
        </w:tc>
        <w:tc>
          <w:tcPr>
            <w:tcW w:w="2381" w:type="dxa"/>
            <w:shd w:val="clear" w:color="auto" w:fill="auto"/>
          </w:tcPr>
          <w:p w:rsidR="0003096E" w:rsidRPr="0003096E" w:rsidRDefault="0003096E" w:rsidP="00823192">
            <w:pPr>
              <w:rPr>
                <w:rFonts w:ascii="Arial" w:hAnsi="Arial" w:cs="Arial"/>
                <w:sz w:val="22"/>
                <w:szCs w:val="22"/>
              </w:rPr>
            </w:pPr>
            <w:r w:rsidRPr="0003096E">
              <w:rPr>
                <w:rFonts w:ascii="Arial" w:hAnsi="Arial" w:cs="Arial"/>
                <w:sz w:val="22"/>
                <w:szCs w:val="22"/>
              </w:rPr>
              <w:t>Usługi obce</w:t>
            </w:r>
          </w:p>
        </w:tc>
        <w:tc>
          <w:tcPr>
            <w:tcW w:w="4162" w:type="dxa"/>
            <w:shd w:val="clear" w:color="auto" w:fill="auto"/>
          </w:tcPr>
          <w:p w:rsidR="0003096E" w:rsidRPr="0003096E" w:rsidRDefault="0003096E" w:rsidP="00694A6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096E">
              <w:rPr>
                <w:rFonts w:ascii="Arial" w:hAnsi="Arial" w:cs="Arial"/>
                <w:sz w:val="22"/>
                <w:szCs w:val="22"/>
              </w:rPr>
              <w:t xml:space="preserve">Służy do ewidencji kosztów z tytułu usług obcych wykonywanych na rzecz działalności podstawowej jednostki. Na stronie </w:t>
            </w:r>
            <w:proofErr w:type="spellStart"/>
            <w:r w:rsidRPr="0003096E">
              <w:rPr>
                <w:rFonts w:ascii="Arial" w:hAnsi="Arial" w:cs="Arial"/>
                <w:sz w:val="22"/>
                <w:szCs w:val="22"/>
              </w:rPr>
              <w:t>Wn</w:t>
            </w:r>
            <w:proofErr w:type="spellEnd"/>
            <w:r w:rsidRPr="0003096E">
              <w:rPr>
                <w:rFonts w:ascii="Arial" w:hAnsi="Arial" w:cs="Arial"/>
                <w:sz w:val="22"/>
                <w:szCs w:val="22"/>
              </w:rPr>
              <w:t xml:space="preserve"> konta 402 ujmuje się poniesione koszty usług obcych, na stronie Ma konta ujmuje się na dzień bilansowy przeniesienie kosztów usług obcych na konto 860.</w:t>
            </w:r>
          </w:p>
        </w:tc>
      </w:tr>
      <w:tr w:rsidR="0003096E" w:rsidRPr="0003096E" w:rsidTr="00116B63">
        <w:tc>
          <w:tcPr>
            <w:tcW w:w="851" w:type="dxa"/>
            <w:shd w:val="clear" w:color="auto" w:fill="auto"/>
          </w:tcPr>
          <w:p w:rsidR="0003096E" w:rsidRPr="0003096E" w:rsidRDefault="0003096E" w:rsidP="00D23AE6">
            <w:pPr>
              <w:pStyle w:val="Akapitzlist"/>
              <w:numPr>
                <w:ilvl w:val="0"/>
                <w:numId w:val="19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78" w:type="dxa"/>
            <w:shd w:val="clear" w:color="auto" w:fill="auto"/>
          </w:tcPr>
          <w:p w:rsidR="0003096E" w:rsidRPr="0003096E" w:rsidRDefault="0003096E" w:rsidP="004360B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096E">
              <w:rPr>
                <w:rFonts w:ascii="Arial" w:hAnsi="Arial" w:cs="Arial"/>
                <w:sz w:val="22"/>
                <w:szCs w:val="22"/>
              </w:rPr>
              <w:t>404</w:t>
            </w:r>
          </w:p>
          <w:p w:rsidR="0003096E" w:rsidRPr="0003096E" w:rsidRDefault="0003096E" w:rsidP="0003096E">
            <w:pPr>
              <w:rPr>
                <w:rFonts w:ascii="Arial" w:hAnsi="Arial" w:cs="Arial"/>
                <w:sz w:val="22"/>
                <w:szCs w:val="22"/>
              </w:rPr>
            </w:pPr>
          </w:p>
          <w:p w:rsidR="0003096E" w:rsidRPr="0003096E" w:rsidRDefault="0003096E" w:rsidP="004360B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81" w:type="dxa"/>
            <w:shd w:val="clear" w:color="auto" w:fill="auto"/>
          </w:tcPr>
          <w:p w:rsidR="0003096E" w:rsidRPr="0003096E" w:rsidRDefault="0003096E" w:rsidP="00823192">
            <w:pPr>
              <w:rPr>
                <w:rFonts w:ascii="Arial" w:hAnsi="Arial" w:cs="Arial"/>
                <w:sz w:val="22"/>
                <w:szCs w:val="22"/>
              </w:rPr>
            </w:pPr>
            <w:r w:rsidRPr="0003096E">
              <w:rPr>
                <w:rFonts w:ascii="Arial" w:hAnsi="Arial" w:cs="Arial"/>
                <w:sz w:val="22"/>
                <w:szCs w:val="22"/>
              </w:rPr>
              <w:t>Wynagrodzenia</w:t>
            </w:r>
          </w:p>
        </w:tc>
        <w:tc>
          <w:tcPr>
            <w:tcW w:w="4162" w:type="dxa"/>
            <w:shd w:val="clear" w:color="auto" w:fill="auto"/>
          </w:tcPr>
          <w:p w:rsidR="0003096E" w:rsidRDefault="0003096E" w:rsidP="00694A6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096E">
              <w:rPr>
                <w:rFonts w:ascii="Arial" w:hAnsi="Arial" w:cs="Arial"/>
                <w:sz w:val="22"/>
                <w:szCs w:val="22"/>
              </w:rPr>
              <w:t xml:space="preserve">Służy do ewidencji kosztów działalności podstawowej z tytułu wynagrodzeń z pracownikami i innymi osobami fizycznymi zatrudnionymi na podstawie umowy zlecenia. Na stronie </w:t>
            </w:r>
            <w:proofErr w:type="spellStart"/>
            <w:r w:rsidRPr="0003096E">
              <w:rPr>
                <w:rFonts w:ascii="Arial" w:hAnsi="Arial" w:cs="Arial"/>
                <w:sz w:val="22"/>
                <w:szCs w:val="22"/>
              </w:rPr>
              <w:t>Wn</w:t>
            </w:r>
            <w:proofErr w:type="spellEnd"/>
            <w:r w:rsidRPr="0003096E">
              <w:rPr>
                <w:rFonts w:ascii="Arial" w:hAnsi="Arial" w:cs="Arial"/>
                <w:sz w:val="22"/>
                <w:szCs w:val="22"/>
              </w:rPr>
              <w:t xml:space="preserve"> konta ujmuje się kwotę należnego wynagrodzenia brutto, na stronie Ma na dzień bilansowy przenosi się je na konto 860.</w:t>
            </w:r>
          </w:p>
          <w:p w:rsidR="002F76BA" w:rsidRPr="0003096E" w:rsidRDefault="002F76BA" w:rsidP="00694A6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3096E" w:rsidRPr="0003096E" w:rsidTr="00116B63">
        <w:tc>
          <w:tcPr>
            <w:tcW w:w="851" w:type="dxa"/>
            <w:shd w:val="clear" w:color="auto" w:fill="auto"/>
          </w:tcPr>
          <w:p w:rsidR="0003096E" w:rsidRPr="0003096E" w:rsidRDefault="0003096E" w:rsidP="00D23AE6">
            <w:pPr>
              <w:pStyle w:val="Akapitzlist"/>
              <w:numPr>
                <w:ilvl w:val="0"/>
                <w:numId w:val="19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78" w:type="dxa"/>
            <w:shd w:val="clear" w:color="auto" w:fill="auto"/>
          </w:tcPr>
          <w:p w:rsidR="0003096E" w:rsidRPr="0003096E" w:rsidRDefault="0003096E" w:rsidP="004360B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096E">
              <w:rPr>
                <w:rFonts w:ascii="Arial" w:hAnsi="Arial" w:cs="Arial"/>
                <w:sz w:val="22"/>
                <w:szCs w:val="22"/>
              </w:rPr>
              <w:t>405</w:t>
            </w:r>
          </w:p>
        </w:tc>
        <w:tc>
          <w:tcPr>
            <w:tcW w:w="2381" w:type="dxa"/>
            <w:shd w:val="clear" w:color="auto" w:fill="auto"/>
          </w:tcPr>
          <w:p w:rsidR="0003096E" w:rsidRPr="0003096E" w:rsidRDefault="0003096E" w:rsidP="00823192">
            <w:pPr>
              <w:rPr>
                <w:rFonts w:ascii="Arial" w:hAnsi="Arial" w:cs="Arial"/>
                <w:sz w:val="22"/>
                <w:szCs w:val="22"/>
              </w:rPr>
            </w:pPr>
            <w:r w:rsidRPr="0003096E">
              <w:rPr>
                <w:rFonts w:ascii="Arial" w:hAnsi="Arial" w:cs="Arial"/>
                <w:sz w:val="22"/>
                <w:szCs w:val="22"/>
              </w:rPr>
              <w:t>Ubezpieczenia społeczne i inne świadczenia</w:t>
            </w:r>
          </w:p>
        </w:tc>
        <w:tc>
          <w:tcPr>
            <w:tcW w:w="4162" w:type="dxa"/>
            <w:shd w:val="clear" w:color="auto" w:fill="auto"/>
          </w:tcPr>
          <w:p w:rsidR="0003096E" w:rsidRDefault="0003096E" w:rsidP="00694A6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096E">
              <w:rPr>
                <w:rFonts w:ascii="Arial" w:hAnsi="Arial" w:cs="Arial"/>
                <w:sz w:val="22"/>
                <w:szCs w:val="22"/>
              </w:rPr>
              <w:t xml:space="preserve">Służy do ewidencji kosztów działalności podstawowej z tytułu wynagrodzeń z pracownikami i innymi osobami fizycznymi zatrudnionymi na podstawie umowy zlecenia. Na stronie </w:t>
            </w:r>
            <w:proofErr w:type="spellStart"/>
            <w:r w:rsidRPr="0003096E">
              <w:rPr>
                <w:rFonts w:ascii="Arial" w:hAnsi="Arial" w:cs="Arial"/>
                <w:sz w:val="22"/>
                <w:szCs w:val="22"/>
              </w:rPr>
              <w:t>Wn</w:t>
            </w:r>
            <w:proofErr w:type="spellEnd"/>
            <w:r w:rsidRPr="0003096E">
              <w:rPr>
                <w:rFonts w:ascii="Arial" w:hAnsi="Arial" w:cs="Arial"/>
                <w:sz w:val="22"/>
                <w:szCs w:val="22"/>
              </w:rPr>
              <w:t xml:space="preserve"> konta ujmuje się kwotę należnego wynagrodzenia brutto, na stronie Ma na dzień bilansowy przenosi się je na konto 860.</w:t>
            </w:r>
          </w:p>
          <w:p w:rsidR="002F76BA" w:rsidRPr="0003096E" w:rsidRDefault="002F76BA" w:rsidP="00694A6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3096E" w:rsidRPr="0003096E" w:rsidTr="00116B63">
        <w:tc>
          <w:tcPr>
            <w:tcW w:w="851" w:type="dxa"/>
            <w:shd w:val="clear" w:color="auto" w:fill="auto"/>
          </w:tcPr>
          <w:p w:rsidR="0003096E" w:rsidRPr="0003096E" w:rsidRDefault="0003096E" w:rsidP="00D23AE6">
            <w:pPr>
              <w:pStyle w:val="Akapitzlist"/>
              <w:numPr>
                <w:ilvl w:val="0"/>
                <w:numId w:val="19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78" w:type="dxa"/>
            <w:shd w:val="clear" w:color="auto" w:fill="auto"/>
          </w:tcPr>
          <w:p w:rsidR="0003096E" w:rsidRPr="0003096E" w:rsidRDefault="0003096E" w:rsidP="004360B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096E">
              <w:rPr>
                <w:rFonts w:ascii="Arial" w:hAnsi="Arial" w:cs="Arial"/>
                <w:sz w:val="22"/>
                <w:szCs w:val="22"/>
              </w:rPr>
              <w:t>409</w:t>
            </w:r>
          </w:p>
        </w:tc>
        <w:tc>
          <w:tcPr>
            <w:tcW w:w="2381" w:type="dxa"/>
            <w:shd w:val="clear" w:color="auto" w:fill="auto"/>
          </w:tcPr>
          <w:p w:rsidR="0003096E" w:rsidRPr="0003096E" w:rsidRDefault="0003096E" w:rsidP="00823192">
            <w:pPr>
              <w:rPr>
                <w:rFonts w:ascii="Arial" w:hAnsi="Arial" w:cs="Arial"/>
                <w:sz w:val="22"/>
                <w:szCs w:val="22"/>
              </w:rPr>
            </w:pPr>
            <w:r w:rsidRPr="0003096E">
              <w:rPr>
                <w:rFonts w:ascii="Arial" w:hAnsi="Arial" w:cs="Arial"/>
                <w:sz w:val="22"/>
                <w:szCs w:val="22"/>
              </w:rPr>
              <w:t>Pozostałe koszty rodzajowe</w:t>
            </w:r>
          </w:p>
        </w:tc>
        <w:tc>
          <w:tcPr>
            <w:tcW w:w="4162" w:type="dxa"/>
            <w:shd w:val="clear" w:color="auto" w:fill="auto"/>
          </w:tcPr>
          <w:p w:rsidR="0003096E" w:rsidRDefault="0003096E" w:rsidP="0003096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096E">
              <w:rPr>
                <w:rFonts w:ascii="Arial" w:hAnsi="Arial" w:cs="Arial"/>
                <w:sz w:val="22"/>
                <w:szCs w:val="22"/>
              </w:rPr>
              <w:t xml:space="preserve">Służy do ewidencji kosztów działalności podstawowej, które nie kwalifikują się do ujęcia na kontach 400-405. Na stronie </w:t>
            </w:r>
            <w:proofErr w:type="spellStart"/>
            <w:r w:rsidRPr="0003096E">
              <w:rPr>
                <w:rFonts w:ascii="Arial" w:hAnsi="Arial" w:cs="Arial"/>
                <w:sz w:val="22"/>
                <w:szCs w:val="22"/>
              </w:rPr>
              <w:t>Wn</w:t>
            </w:r>
            <w:proofErr w:type="spellEnd"/>
            <w:r w:rsidRPr="0003096E">
              <w:rPr>
                <w:rFonts w:ascii="Arial" w:hAnsi="Arial" w:cs="Arial"/>
                <w:sz w:val="22"/>
                <w:szCs w:val="22"/>
              </w:rPr>
              <w:t xml:space="preserve"> konta 409 ujmuje się poniesione koszty, a  na stronie Ma ich zmniejszenie, na dzień bilansowy przenosi się je na konto 860.</w:t>
            </w:r>
          </w:p>
          <w:p w:rsidR="002F76BA" w:rsidRPr="0003096E" w:rsidRDefault="002F76BA" w:rsidP="0003096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94A6F" w:rsidRPr="0003096E" w:rsidTr="00116B63">
        <w:tc>
          <w:tcPr>
            <w:tcW w:w="851" w:type="dxa"/>
            <w:shd w:val="clear" w:color="auto" w:fill="auto"/>
          </w:tcPr>
          <w:p w:rsidR="00694A6F" w:rsidRPr="0003096E" w:rsidRDefault="00476A91" w:rsidP="00D23AE6">
            <w:pPr>
              <w:pStyle w:val="Akapitzlist"/>
              <w:numPr>
                <w:ilvl w:val="0"/>
                <w:numId w:val="19"/>
              </w:numPr>
              <w:rPr>
                <w:rFonts w:ascii="Arial" w:hAnsi="Arial" w:cs="Arial"/>
                <w:sz w:val="22"/>
                <w:szCs w:val="22"/>
              </w:rPr>
            </w:pPr>
            <w:r w:rsidRPr="0003096E">
              <w:rPr>
                <w:rFonts w:ascii="Arial" w:hAnsi="Arial" w:cs="Arial"/>
                <w:sz w:val="22"/>
                <w:szCs w:val="22"/>
              </w:rPr>
              <w:t>1</w:t>
            </w:r>
            <w:r w:rsidR="002232E9" w:rsidRPr="0003096E">
              <w:rPr>
                <w:rFonts w:ascii="Arial" w:hAnsi="Arial" w:cs="Arial"/>
                <w:sz w:val="22"/>
                <w:szCs w:val="22"/>
              </w:rPr>
              <w:t>7</w:t>
            </w:r>
            <w:r w:rsidR="00694A6F" w:rsidRPr="0003096E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678" w:type="dxa"/>
            <w:shd w:val="clear" w:color="auto" w:fill="auto"/>
          </w:tcPr>
          <w:p w:rsidR="00694A6F" w:rsidRPr="0003096E" w:rsidRDefault="00694A6F" w:rsidP="00694A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096E">
              <w:rPr>
                <w:rFonts w:ascii="Arial" w:hAnsi="Arial" w:cs="Arial"/>
                <w:sz w:val="22"/>
                <w:szCs w:val="22"/>
              </w:rPr>
              <w:t>800</w:t>
            </w:r>
          </w:p>
          <w:p w:rsidR="00694A6F" w:rsidRPr="0003096E" w:rsidRDefault="00694A6F" w:rsidP="00694A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94A6F" w:rsidRPr="0003096E" w:rsidRDefault="00694A6F" w:rsidP="00694A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94A6F" w:rsidRPr="0003096E" w:rsidRDefault="00694A6F" w:rsidP="00B40F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81" w:type="dxa"/>
            <w:shd w:val="clear" w:color="auto" w:fill="auto"/>
          </w:tcPr>
          <w:p w:rsidR="00694A6F" w:rsidRPr="0003096E" w:rsidRDefault="00694A6F" w:rsidP="00694A6F">
            <w:pPr>
              <w:rPr>
                <w:rFonts w:ascii="Arial" w:hAnsi="Arial" w:cs="Arial"/>
                <w:sz w:val="22"/>
                <w:szCs w:val="22"/>
              </w:rPr>
            </w:pPr>
            <w:r w:rsidRPr="0003096E">
              <w:rPr>
                <w:rFonts w:ascii="Arial" w:hAnsi="Arial" w:cs="Arial"/>
                <w:sz w:val="22"/>
                <w:szCs w:val="22"/>
              </w:rPr>
              <w:t xml:space="preserve">Fundusz jednostki </w:t>
            </w:r>
          </w:p>
          <w:p w:rsidR="00694A6F" w:rsidRPr="0003096E" w:rsidRDefault="00694A6F" w:rsidP="00694A6F">
            <w:pPr>
              <w:rPr>
                <w:rFonts w:ascii="Arial" w:hAnsi="Arial" w:cs="Arial"/>
                <w:sz w:val="22"/>
                <w:szCs w:val="22"/>
              </w:rPr>
            </w:pPr>
          </w:p>
          <w:p w:rsidR="00694A6F" w:rsidRPr="0003096E" w:rsidRDefault="00694A6F" w:rsidP="00694A6F">
            <w:pPr>
              <w:rPr>
                <w:rFonts w:ascii="Arial" w:hAnsi="Arial" w:cs="Arial"/>
                <w:sz w:val="22"/>
                <w:szCs w:val="22"/>
              </w:rPr>
            </w:pPr>
          </w:p>
          <w:p w:rsidR="00694A6F" w:rsidRPr="0003096E" w:rsidRDefault="00694A6F" w:rsidP="00694A6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62" w:type="dxa"/>
            <w:shd w:val="clear" w:color="auto" w:fill="auto"/>
          </w:tcPr>
          <w:p w:rsidR="00694A6F" w:rsidRDefault="00694A6F" w:rsidP="00651CA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096E">
              <w:rPr>
                <w:rFonts w:ascii="Arial" w:hAnsi="Arial" w:cs="Arial"/>
                <w:sz w:val="22"/>
                <w:szCs w:val="22"/>
              </w:rPr>
              <w:t xml:space="preserve">Służy do ewidencji równowartości majątku trwałego jednostki  oraz majątku obrotowego w zakresie podstawowej działalności jednostki budżetowej oraz działalności inwestycyjnej  i jego zmian. Ewidencję szczegółową prowadzi się w podziale wg rodzaju funduszy (źródeł pochodzenia) odnoszących się do projektu. Na stronie </w:t>
            </w:r>
            <w:proofErr w:type="spellStart"/>
            <w:r w:rsidRPr="0003096E">
              <w:rPr>
                <w:rFonts w:ascii="Arial" w:hAnsi="Arial" w:cs="Arial"/>
                <w:sz w:val="22"/>
                <w:szCs w:val="22"/>
              </w:rPr>
              <w:t>Wn</w:t>
            </w:r>
            <w:proofErr w:type="spellEnd"/>
            <w:r w:rsidRPr="0003096E">
              <w:rPr>
                <w:rFonts w:ascii="Arial" w:hAnsi="Arial" w:cs="Arial"/>
                <w:sz w:val="22"/>
                <w:szCs w:val="22"/>
              </w:rPr>
              <w:t xml:space="preserve"> konta 800 ujmuje się w szczególności przeksięgowanie straty bilanso</w:t>
            </w:r>
            <w:r w:rsidR="00651CA3" w:rsidRPr="0003096E">
              <w:rPr>
                <w:rFonts w:ascii="Arial" w:hAnsi="Arial" w:cs="Arial"/>
                <w:sz w:val="22"/>
                <w:szCs w:val="22"/>
              </w:rPr>
              <w:t xml:space="preserve">wej roku ubiegłego z konta 860. </w:t>
            </w:r>
            <w:r w:rsidRPr="0003096E">
              <w:rPr>
                <w:rFonts w:ascii="Arial" w:hAnsi="Arial" w:cs="Arial"/>
                <w:sz w:val="22"/>
                <w:szCs w:val="22"/>
              </w:rPr>
              <w:t xml:space="preserve">Na stronie Ma konta 800 ujmuje się w szczególności przeksięgowanie pod datą sprawozdania budżetowego  zrealizowanych wydatków budżetowych z kontem 223, przeksięgowanie w roku następnym zysku bilansowego roku ubiegłego z konta 860 (pod datą przyjęcia sprawozdania finansowego). </w:t>
            </w:r>
          </w:p>
          <w:p w:rsidR="002F76BA" w:rsidRPr="0003096E" w:rsidRDefault="002F76BA" w:rsidP="00651CA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46600" w:rsidRPr="0003096E" w:rsidTr="00116B63">
        <w:tc>
          <w:tcPr>
            <w:tcW w:w="851" w:type="dxa"/>
            <w:shd w:val="clear" w:color="auto" w:fill="auto"/>
          </w:tcPr>
          <w:p w:rsidR="00C46600" w:rsidRPr="0003096E" w:rsidRDefault="00C46600" w:rsidP="00C46600">
            <w:pPr>
              <w:pStyle w:val="Akapitzlist"/>
              <w:numPr>
                <w:ilvl w:val="0"/>
                <w:numId w:val="19"/>
              </w:numPr>
              <w:rPr>
                <w:rFonts w:ascii="Arial" w:hAnsi="Arial" w:cs="Arial"/>
                <w:sz w:val="22"/>
                <w:szCs w:val="22"/>
              </w:rPr>
            </w:pPr>
            <w:r w:rsidRPr="0003096E">
              <w:rPr>
                <w:rFonts w:ascii="Arial" w:hAnsi="Arial" w:cs="Arial"/>
                <w:sz w:val="22"/>
                <w:szCs w:val="22"/>
              </w:rPr>
              <w:t>19.</w:t>
            </w:r>
          </w:p>
        </w:tc>
        <w:tc>
          <w:tcPr>
            <w:tcW w:w="1678" w:type="dxa"/>
            <w:shd w:val="clear" w:color="auto" w:fill="auto"/>
          </w:tcPr>
          <w:p w:rsidR="00C46600" w:rsidRPr="0003096E" w:rsidRDefault="00C46600" w:rsidP="00C466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096E">
              <w:rPr>
                <w:rFonts w:ascii="Arial" w:hAnsi="Arial" w:cs="Arial"/>
                <w:sz w:val="22"/>
                <w:szCs w:val="22"/>
              </w:rPr>
              <w:t>860</w:t>
            </w:r>
          </w:p>
        </w:tc>
        <w:tc>
          <w:tcPr>
            <w:tcW w:w="2381" w:type="dxa"/>
            <w:shd w:val="clear" w:color="auto" w:fill="auto"/>
          </w:tcPr>
          <w:p w:rsidR="00C46600" w:rsidRPr="0003096E" w:rsidRDefault="00C46600" w:rsidP="00C46600">
            <w:pPr>
              <w:rPr>
                <w:rFonts w:ascii="Arial" w:hAnsi="Arial" w:cs="Arial"/>
                <w:sz w:val="22"/>
                <w:szCs w:val="22"/>
              </w:rPr>
            </w:pPr>
            <w:r w:rsidRPr="0003096E">
              <w:rPr>
                <w:rFonts w:ascii="Arial" w:hAnsi="Arial" w:cs="Arial"/>
                <w:sz w:val="22"/>
                <w:szCs w:val="22"/>
              </w:rPr>
              <w:t>Wynik finansowy</w:t>
            </w:r>
          </w:p>
        </w:tc>
        <w:tc>
          <w:tcPr>
            <w:tcW w:w="4162" w:type="dxa"/>
            <w:shd w:val="clear" w:color="auto" w:fill="auto"/>
          </w:tcPr>
          <w:p w:rsidR="00C46600" w:rsidRPr="0003096E" w:rsidRDefault="00C46600" w:rsidP="00892E3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096E">
              <w:rPr>
                <w:rFonts w:ascii="Arial" w:hAnsi="Arial" w:cs="Arial"/>
                <w:sz w:val="22"/>
                <w:szCs w:val="22"/>
              </w:rPr>
              <w:t xml:space="preserve">Służy do ustalania wyniku finansowego jednostki. W końcu roku obrotowego na stronie </w:t>
            </w:r>
            <w:proofErr w:type="spellStart"/>
            <w:r w:rsidRPr="0003096E">
              <w:rPr>
                <w:rFonts w:ascii="Arial" w:hAnsi="Arial" w:cs="Arial"/>
                <w:sz w:val="22"/>
                <w:szCs w:val="22"/>
              </w:rPr>
              <w:t>Wn</w:t>
            </w:r>
            <w:proofErr w:type="spellEnd"/>
            <w:r w:rsidRPr="0003096E">
              <w:rPr>
                <w:rFonts w:ascii="Arial" w:hAnsi="Arial" w:cs="Arial"/>
                <w:sz w:val="22"/>
                <w:szCs w:val="22"/>
              </w:rPr>
              <w:t xml:space="preserve"> konta ujmuje się sumę poniesionych kosztów w korespondencji z </w:t>
            </w:r>
            <w:r w:rsidR="00892E38" w:rsidRPr="0003096E">
              <w:rPr>
                <w:rFonts w:ascii="Arial" w:hAnsi="Arial" w:cs="Arial"/>
                <w:sz w:val="22"/>
                <w:szCs w:val="22"/>
              </w:rPr>
              <w:t>kontami zespołu „4” i „7”</w:t>
            </w:r>
            <w:r w:rsidRPr="0003096E">
              <w:rPr>
                <w:rFonts w:ascii="Arial" w:hAnsi="Arial" w:cs="Arial"/>
                <w:sz w:val="22"/>
                <w:szCs w:val="22"/>
              </w:rPr>
              <w:t xml:space="preserve">. Saldo konta </w:t>
            </w:r>
            <w:r w:rsidRPr="0003096E">
              <w:rPr>
                <w:rFonts w:ascii="Arial" w:hAnsi="Arial" w:cs="Arial"/>
                <w:sz w:val="22"/>
                <w:szCs w:val="22"/>
              </w:rPr>
              <w:lastRenderedPageBreak/>
              <w:t xml:space="preserve">860 wyraża na koniec roku obrotowego wynik finansowy jednostki, saldo </w:t>
            </w:r>
            <w:proofErr w:type="spellStart"/>
            <w:r w:rsidRPr="0003096E">
              <w:rPr>
                <w:rFonts w:ascii="Arial" w:hAnsi="Arial" w:cs="Arial"/>
                <w:sz w:val="22"/>
                <w:szCs w:val="22"/>
              </w:rPr>
              <w:t>Wn</w:t>
            </w:r>
            <w:proofErr w:type="spellEnd"/>
            <w:r w:rsidRPr="0003096E">
              <w:rPr>
                <w:rFonts w:ascii="Arial" w:hAnsi="Arial" w:cs="Arial"/>
                <w:sz w:val="22"/>
                <w:szCs w:val="22"/>
              </w:rPr>
              <w:t xml:space="preserve"> – stratę netto, saldo Ma – zysk netto. Saldo jest przenoszone w roku następnym na konto 800.</w:t>
            </w:r>
          </w:p>
        </w:tc>
      </w:tr>
    </w:tbl>
    <w:p w:rsidR="00EC714D" w:rsidRPr="0003096E" w:rsidRDefault="00EC714D" w:rsidP="00517567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892E38" w:rsidRPr="0003096E" w:rsidRDefault="00892E38" w:rsidP="00517567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892E38" w:rsidRPr="0003096E" w:rsidRDefault="00892E38" w:rsidP="00517567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473459" w:rsidRPr="0003096E" w:rsidRDefault="0058305D" w:rsidP="00517567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03096E">
        <w:rPr>
          <w:rFonts w:ascii="Arial" w:hAnsi="Arial" w:cs="Arial"/>
          <w:b/>
          <w:sz w:val="22"/>
          <w:szCs w:val="22"/>
        </w:rPr>
        <w:t>Konta pozabilansowe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587"/>
        <w:gridCol w:w="2335"/>
        <w:gridCol w:w="4158"/>
      </w:tblGrid>
      <w:tr w:rsidR="002F6453" w:rsidRPr="0003096E" w:rsidTr="002A08ED">
        <w:trPr>
          <w:trHeight w:val="711"/>
        </w:trPr>
        <w:tc>
          <w:tcPr>
            <w:tcW w:w="851" w:type="dxa"/>
            <w:shd w:val="clear" w:color="auto" w:fill="auto"/>
          </w:tcPr>
          <w:p w:rsidR="002F6453" w:rsidRPr="0003096E" w:rsidRDefault="002F6453" w:rsidP="002F6453">
            <w:pPr>
              <w:pStyle w:val="Akapitzlist"/>
              <w:numPr>
                <w:ilvl w:val="0"/>
                <w:numId w:val="20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7" w:type="dxa"/>
            <w:shd w:val="clear" w:color="auto" w:fill="auto"/>
          </w:tcPr>
          <w:p w:rsidR="002F6453" w:rsidRPr="0003096E" w:rsidRDefault="002F6453" w:rsidP="002F6453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</w:rPr>
              <w:t>980</w:t>
            </w:r>
          </w:p>
        </w:tc>
        <w:tc>
          <w:tcPr>
            <w:tcW w:w="2335" w:type="dxa"/>
            <w:shd w:val="clear" w:color="auto" w:fill="auto"/>
          </w:tcPr>
          <w:p w:rsidR="002F6453" w:rsidRPr="002F6453" w:rsidRDefault="002F6453" w:rsidP="002F6453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2F6453">
              <w:rPr>
                <w:rFonts w:ascii="Arial" w:hAnsi="Arial" w:cs="Arial"/>
                <w:sz w:val="22"/>
                <w:szCs w:val="22"/>
              </w:rPr>
              <w:t>Plan wydatków budżetowych oraz zrealizowanych wydatków</w:t>
            </w:r>
          </w:p>
        </w:tc>
        <w:tc>
          <w:tcPr>
            <w:tcW w:w="4158" w:type="dxa"/>
            <w:shd w:val="clear" w:color="auto" w:fill="auto"/>
          </w:tcPr>
          <w:p w:rsidR="002F6453" w:rsidRDefault="002F6453" w:rsidP="002F6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F6453">
              <w:rPr>
                <w:rFonts w:ascii="Arial" w:hAnsi="Arial" w:cs="Arial"/>
                <w:sz w:val="22"/>
                <w:szCs w:val="22"/>
              </w:rPr>
              <w:t xml:space="preserve">Służy do ewidencji planu finansowego wydatków budżetowych. Ewidencję szczegółową prowadzi się wg klasyfikacji budżetowej. </w:t>
            </w:r>
          </w:p>
          <w:p w:rsidR="002F76BA" w:rsidRPr="002F6453" w:rsidRDefault="002F76BA" w:rsidP="002F6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F6453" w:rsidRPr="0003096E" w:rsidTr="002A08ED">
        <w:trPr>
          <w:trHeight w:val="711"/>
        </w:trPr>
        <w:tc>
          <w:tcPr>
            <w:tcW w:w="851" w:type="dxa"/>
            <w:shd w:val="clear" w:color="auto" w:fill="auto"/>
          </w:tcPr>
          <w:p w:rsidR="002F6453" w:rsidRPr="0003096E" w:rsidRDefault="002F6453" w:rsidP="002F6453">
            <w:pPr>
              <w:pStyle w:val="Akapitzlist"/>
              <w:numPr>
                <w:ilvl w:val="0"/>
                <w:numId w:val="20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7" w:type="dxa"/>
            <w:shd w:val="clear" w:color="auto" w:fill="auto"/>
          </w:tcPr>
          <w:p w:rsidR="002F6453" w:rsidRPr="0003096E" w:rsidRDefault="002F6453" w:rsidP="002F645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096E">
              <w:rPr>
                <w:rFonts w:ascii="Arial" w:hAnsi="Arial" w:cs="Arial"/>
                <w:sz w:val="22"/>
                <w:szCs w:val="22"/>
              </w:rPr>
              <w:t>998</w:t>
            </w:r>
          </w:p>
        </w:tc>
        <w:tc>
          <w:tcPr>
            <w:tcW w:w="2335" w:type="dxa"/>
            <w:shd w:val="clear" w:color="auto" w:fill="auto"/>
          </w:tcPr>
          <w:p w:rsidR="002F6453" w:rsidRPr="0003096E" w:rsidRDefault="002F6453" w:rsidP="002F6453">
            <w:pPr>
              <w:rPr>
                <w:rFonts w:ascii="Arial" w:hAnsi="Arial" w:cs="Arial"/>
                <w:sz w:val="22"/>
                <w:szCs w:val="22"/>
              </w:rPr>
            </w:pPr>
            <w:r w:rsidRPr="0003096E">
              <w:rPr>
                <w:rFonts w:ascii="Arial" w:hAnsi="Arial" w:cs="Arial"/>
                <w:sz w:val="22"/>
                <w:szCs w:val="22"/>
              </w:rPr>
              <w:t>Zaangażowanie wydatków roku bieżącego</w:t>
            </w:r>
          </w:p>
        </w:tc>
        <w:tc>
          <w:tcPr>
            <w:tcW w:w="4158" w:type="dxa"/>
            <w:shd w:val="clear" w:color="auto" w:fill="auto"/>
          </w:tcPr>
          <w:p w:rsidR="002F6453" w:rsidRDefault="002F6453" w:rsidP="002F6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F6453">
              <w:rPr>
                <w:rFonts w:ascii="Arial" w:hAnsi="Arial" w:cs="Arial"/>
                <w:sz w:val="22"/>
                <w:szCs w:val="22"/>
              </w:rPr>
              <w:t xml:space="preserve">Służy do ewidencji zaangażowania wydatków budżetowych ujętych w planie finansowym  wydatków danego roku budżetowego. Na stronie </w:t>
            </w:r>
            <w:proofErr w:type="spellStart"/>
            <w:r w:rsidRPr="002F6453">
              <w:rPr>
                <w:rFonts w:ascii="Arial" w:hAnsi="Arial" w:cs="Arial"/>
                <w:sz w:val="22"/>
                <w:szCs w:val="22"/>
              </w:rPr>
              <w:t>Wn</w:t>
            </w:r>
            <w:proofErr w:type="spellEnd"/>
            <w:r w:rsidRPr="002F6453">
              <w:rPr>
                <w:rFonts w:ascii="Arial" w:hAnsi="Arial" w:cs="Arial"/>
                <w:sz w:val="22"/>
                <w:szCs w:val="22"/>
              </w:rPr>
              <w:t xml:space="preserve"> ujmuje się równowartość sfinansowanych wydatków budżetowych w danym roku budżetowym, na stronie Ma – zaangażowanie wydatków, czyli wartość umów. Ewidencję szczegółową prowadzi się wg klasyfikacji budżetowej.   </w:t>
            </w:r>
          </w:p>
          <w:p w:rsidR="002F76BA" w:rsidRPr="002F6453" w:rsidRDefault="002F76BA" w:rsidP="002F6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F6453" w:rsidRPr="0003096E" w:rsidTr="002A08ED">
        <w:trPr>
          <w:trHeight w:val="711"/>
        </w:trPr>
        <w:tc>
          <w:tcPr>
            <w:tcW w:w="851" w:type="dxa"/>
            <w:shd w:val="clear" w:color="auto" w:fill="auto"/>
          </w:tcPr>
          <w:p w:rsidR="002F6453" w:rsidRPr="0003096E" w:rsidRDefault="002F6453" w:rsidP="002F6453">
            <w:pPr>
              <w:pStyle w:val="Akapitzlist"/>
              <w:numPr>
                <w:ilvl w:val="0"/>
                <w:numId w:val="20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7" w:type="dxa"/>
            <w:shd w:val="clear" w:color="auto" w:fill="auto"/>
          </w:tcPr>
          <w:p w:rsidR="002F6453" w:rsidRPr="0003096E" w:rsidRDefault="002F6453" w:rsidP="002F645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999</w:t>
            </w:r>
          </w:p>
        </w:tc>
        <w:tc>
          <w:tcPr>
            <w:tcW w:w="2335" w:type="dxa"/>
            <w:shd w:val="clear" w:color="auto" w:fill="auto"/>
          </w:tcPr>
          <w:p w:rsidR="002F6453" w:rsidRPr="002F6453" w:rsidRDefault="002F6453" w:rsidP="002F6453">
            <w:pPr>
              <w:rPr>
                <w:rFonts w:ascii="Arial" w:hAnsi="Arial" w:cs="Arial"/>
                <w:sz w:val="22"/>
                <w:szCs w:val="22"/>
              </w:rPr>
            </w:pPr>
            <w:r w:rsidRPr="002F6453">
              <w:rPr>
                <w:rFonts w:ascii="Arial" w:hAnsi="Arial" w:cs="Arial"/>
                <w:sz w:val="22"/>
                <w:szCs w:val="22"/>
              </w:rPr>
              <w:t xml:space="preserve">Zaangażowanie </w:t>
            </w:r>
          </w:p>
          <w:p w:rsidR="002F6453" w:rsidRPr="002F6453" w:rsidRDefault="002F6453" w:rsidP="002F6453">
            <w:pPr>
              <w:rPr>
                <w:rFonts w:ascii="Arial" w:hAnsi="Arial" w:cs="Arial"/>
                <w:sz w:val="22"/>
                <w:szCs w:val="22"/>
              </w:rPr>
            </w:pPr>
            <w:r w:rsidRPr="002F6453">
              <w:rPr>
                <w:rFonts w:ascii="Arial" w:hAnsi="Arial" w:cs="Arial"/>
                <w:sz w:val="22"/>
                <w:szCs w:val="22"/>
              </w:rPr>
              <w:t xml:space="preserve">wydatków budżetowych </w:t>
            </w:r>
          </w:p>
          <w:p w:rsidR="002F6453" w:rsidRPr="002F6453" w:rsidRDefault="002F6453" w:rsidP="002F6453">
            <w:pPr>
              <w:rPr>
                <w:rFonts w:ascii="Arial" w:hAnsi="Arial" w:cs="Arial"/>
                <w:sz w:val="22"/>
                <w:szCs w:val="22"/>
              </w:rPr>
            </w:pPr>
            <w:r w:rsidRPr="002F6453">
              <w:rPr>
                <w:rFonts w:ascii="Arial" w:hAnsi="Arial" w:cs="Arial"/>
                <w:sz w:val="22"/>
                <w:szCs w:val="22"/>
              </w:rPr>
              <w:t>przyszłych lat</w:t>
            </w:r>
          </w:p>
          <w:p w:rsidR="002F6453" w:rsidRPr="002F6453" w:rsidRDefault="002F6453" w:rsidP="002F645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58" w:type="dxa"/>
            <w:shd w:val="clear" w:color="auto" w:fill="auto"/>
          </w:tcPr>
          <w:p w:rsidR="002F6453" w:rsidRPr="002F6453" w:rsidRDefault="002F6453" w:rsidP="002F6453">
            <w:pPr>
              <w:rPr>
                <w:rFonts w:ascii="Arial" w:hAnsi="Arial" w:cs="Arial"/>
                <w:sz w:val="22"/>
                <w:szCs w:val="22"/>
              </w:rPr>
            </w:pPr>
            <w:r w:rsidRPr="002F6453">
              <w:rPr>
                <w:rFonts w:ascii="Arial" w:hAnsi="Arial" w:cs="Arial"/>
                <w:sz w:val="22"/>
                <w:szCs w:val="22"/>
              </w:rPr>
              <w:t xml:space="preserve">Służy do ewidencji prawnego zaangażowania </w:t>
            </w:r>
          </w:p>
          <w:p w:rsidR="002F6453" w:rsidRDefault="002F6453" w:rsidP="002F6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F6453">
              <w:rPr>
                <w:rFonts w:ascii="Arial" w:hAnsi="Arial" w:cs="Arial"/>
                <w:sz w:val="22"/>
                <w:szCs w:val="22"/>
              </w:rPr>
              <w:t xml:space="preserve">wydatków budżetowych przyszłych lat. Ewidencję szczegółową prowadzi się wg klasyfikacji budżetowej.   </w:t>
            </w:r>
          </w:p>
          <w:p w:rsidR="002F76BA" w:rsidRPr="002F6453" w:rsidRDefault="002F76BA" w:rsidP="002F64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53C0A" w:rsidRDefault="00A53C0A" w:rsidP="00EC714D">
      <w:pPr>
        <w:jc w:val="both"/>
        <w:rPr>
          <w:b/>
        </w:rPr>
      </w:pPr>
    </w:p>
    <w:p w:rsidR="00DB415C" w:rsidRDefault="00DB415C" w:rsidP="00DB415C">
      <w:pPr>
        <w:jc w:val="both"/>
      </w:pPr>
    </w:p>
    <w:p w:rsidR="00DB415C" w:rsidRDefault="00DB415C" w:rsidP="00DB415C">
      <w:pPr>
        <w:jc w:val="both"/>
      </w:pPr>
    </w:p>
    <w:p w:rsidR="00DB415C" w:rsidRPr="00C96831" w:rsidRDefault="00DB415C" w:rsidP="00DB415C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C96831">
        <w:rPr>
          <w:rFonts w:ascii="Arial" w:hAnsi="Arial" w:cs="Arial"/>
          <w:b/>
          <w:sz w:val="22"/>
          <w:szCs w:val="22"/>
        </w:rPr>
        <w:t>Ewidencja operacji księgowych współfinansowanych ze środków Europejskiego Funduszu Społecznego</w:t>
      </w:r>
    </w:p>
    <w:p w:rsidR="00DB415C" w:rsidRPr="00C96831" w:rsidRDefault="00DB415C" w:rsidP="00DB415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96831">
        <w:rPr>
          <w:rFonts w:ascii="Arial" w:hAnsi="Arial" w:cs="Arial"/>
          <w:sz w:val="22"/>
          <w:szCs w:val="22"/>
        </w:rPr>
        <w:t>Dokumenty zewnętrzne opisywane będą na odwrocie dokumentu a w przypadku braku miejsca na oddzielnej kartce, trwale połączonej z dokumentem zszywkami.</w:t>
      </w:r>
    </w:p>
    <w:p w:rsidR="00DB415C" w:rsidRPr="00C96831" w:rsidRDefault="00DB415C" w:rsidP="00DB415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96831">
        <w:rPr>
          <w:rFonts w:ascii="Arial" w:hAnsi="Arial" w:cs="Arial"/>
          <w:sz w:val="22"/>
          <w:szCs w:val="22"/>
        </w:rPr>
        <w:t>Klasyfikacja paragrafów wydatków i środków jest czterocyfrowa. Czwartą cyfrą w przypadku projektów współfinansowanych z Unii Europejskiej są odpowiednio :</w:t>
      </w:r>
    </w:p>
    <w:p w:rsidR="00DB415C" w:rsidRPr="00C96831" w:rsidRDefault="00DB415C" w:rsidP="00DB415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96831">
        <w:rPr>
          <w:rFonts w:ascii="Arial" w:hAnsi="Arial" w:cs="Arial"/>
          <w:sz w:val="22"/>
          <w:szCs w:val="22"/>
        </w:rPr>
        <w:t>- 7 – współfinansowanie programów i projektów ze środków europejskich</w:t>
      </w:r>
    </w:p>
    <w:p w:rsidR="00DB415C" w:rsidRDefault="00DB415C" w:rsidP="00DB415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96831">
        <w:rPr>
          <w:rFonts w:ascii="Arial" w:hAnsi="Arial" w:cs="Arial"/>
          <w:sz w:val="22"/>
          <w:szCs w:val="22"/>
        </w:rPr>
        <w:t xml:space="preserve">Wydatki księgowane są wg klasyfikacji budżetowej – Dział - </w:t>
      </w:r>
      <w:r w:rsidR="002F6453">
        <w:rPr>
          <w:rFonts w:ascii="Arial" w:hAnsi="Arial" w:cs="Arial"/>
          <w:sz w:val="22"/>
          <w:szCs w:val="22"/>
        </w:rPr>
        <w:t>852</w:t>
      </w:r>
      <w:r w:rsidRPr="00C96831">
        <w:rPr>
          <w:rFonts w:ascii="Arial" w:hAnsi="Arial" w:cs="Arial"/>
          <w:sz w:val="22"/>
          <w:szCs w:val="22"/>
        </w:rPr>
        <w:t xml:space="preserve"> Rozdział - </w:t>
      </w:r>
      <w:r w:rsidR="002F6453">
        <w:rPr>
          <w:rFonts w:ascii="Arial" w:hAnsi="Arial" w:cs="Arial"/>
          <w:sz w:val="22"/>
          <w:szCs w:val="22"/>
        </w:rPr>
        <w:t>85295</w:t>
      </w:r>
      <w:r w:rsidRPr="00C96831">
        <w:rPr>
          <w:rFonts w:ascii="Arial" w:hAnsi="Arial" w:cs="Arial"/>
          <w:sz w:val="22"/>
          <w:szCs w:val="22"/>
        </w:rPr>
        <w:br/>
        <w:t>i odpowiedniego §.</w:t>
      </w:r>
    </w:p>
    <w:p w:rsidR="002F6453" w:rsidRDefault="002F6453" w:rsidP="00DB415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2F6453" w:rsidRPr="00C96831" w:rsidRDefault="002F6453" w:rsidP="00DB415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6A7077" w:rsidRPr="00C96831" w:rsidRDefault="006E3110" w:rsidP="00B358D5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C96831">
        <w:rPr>
          <w:rFonts w:ascii="Arial" w:hAnsi="Arial" w:cs="Arial"/>
          <w:b/>
          <w:sz w:val="22"/>
          <w:szCs w:val="22"/>
        </w:rPr>
        <w:lastRenderedPageBreak/>
        <w:t>Przykładowe operacje księgowe:</w:t>
      </w:r>
    </w:p>
    <w:p w:rsidR="00F46A55" w:rsidRPr="00C96831" w:rsidRDefault="00F46A55" w:rsidP="00642C26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C96831">
        <w:rPr>
          <w:rFonts w:ascii="Arial" w:hAnsi="Arial" w:cs="Arial"/>
          <w:b/>
          <w:sz w:val="22"/>
          <w:szCs w:val="22"/>
        </w:rPr>
        <w:t>Konta bilansowe:</w:t>
      </w:r>
    </w:p>
    <w:p w:rsidR="00FD6D0C" w:rsidRPr="00C96831" w:rsidRDefault="00FD6D0C" w:rsidP="00EA3E28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96831">
        <w:rPr>
          <w:rFonts w:ascii="Arial" w:hAnsi="Arial" w:cs="Arial"/>
          <w:sz w:val="22"/>
          <w:szCs w:val="22"/>
        </w:rPr>
        <w:t xml:space="preserve">Wpływ środków na </w:t>
      </w:r>
      <w:r w:rsidR="006C4347" w:rsidRPr="00C96831">
        <w:rPr>
          <w:rFonts w:ascii="Arial" w:hAnsi="Arial" w:cs="Arial"/>
          <w:sz w:val="22"/>
          <w:szCs w:val="22"/>
        </w:rPr>
        <w:t xml:space="preserve">realizację </w:t>
      </w:r>
      <w:r w:rsidR="002238F7" w:rsidRPr="00C96831">
        <w:rPr>
          <w:rFonts w:ascii="Arial" w:hAnsi="Arial" w:cs="Arial"/>
          <w:sz w:val="22"/>
          <w:szCs w:val="22"/>
        </w:rPr>
        <w:t>projektu</w:t>
      </w:r>
      <w:r w:rsidR="00DB415C" w:rsidRPr="00C96831">
        <w:rPr>
          <w:rFonts w:ascii="Arial" w:hAnsi="Arial" w:cs="Arial"/>
          <w:sz w:val="22"/>
          <w:szCs w:val="22"/>
        </w:rPr>
        <w:t xml:space="preserve"> z konta Organu</w:t>
      </w:r>
      <w:r w:rsidRPr="00C96831">
        <w:rPr>
          <w:rFonts w:ascii="Arial" w:hAnsi="Arial" w:cs="Arial"/>
          <w:sz w:val="22"/>
          <w:szCs w:val="22"/>
        </w:rPr>
        <w:t>:</w:t>
      </w:r>
    </w:p>
    <w:p w:rsidR="006A7077" w:rsidRPr="00C96831" w:rsidRDefault="00FD6D0C" w:rsidP="006A7077">
      <w:pPr>
        <w:spacing w:line="360" w:lineRule="auto"/>
        <w:ind w:left="360" w:firstLine="348"/>
        <w:jc w:val="both"/>
        <w:rPr>
          <w:rFonts w:ascii="Arial" w:hAnsi="Arial" w:cs="Arial"/>
          <w:sz w:val="22"/>
          <w:szCs w:val="22"/>
        </w:rPr>
      </w:pPr>
      <w:proofErr w:type="spellStart"/>
      <w:r w:rsidRPr="00C96831">
        <w:rPr>
          <w:rFonts w:ascii="Arial" w:hAnsi="Arial" w:cs="Arial"/>
          <w:sz w:val="22"/>
          <w:szCs w:val="22"/>
        </w:rPr>
        <w:t>Wn</w:t>
      </w:r>
      <w:proofErr w:type="spellEnd"/>
      <w:r w:rsidRPr="00C96831">
        <w:rPr>
          <w:rFonts w:ascii="Arial" w:hAnsi="Arial" w:cs="Arial"/>
          <w:sz w:val="22"/>
          <w:szCs w:val="22"/>
        </w:rPr>
        <w:t xml:space="preserve"> konta 130</w:t>
      </w:r>
      <w:r w:rsidR="00F95CC2" w:rsidRPr="00C96831">
        <w:rPr>
          <w:rFonts w:ascii="Arial" w:hAnsi="Arial" w:cs="Arial"/>
          <w:sz w:val="22"/>
          <w:szCs w:val="22"/>
        </w:rPr>
        <w:t>-</w:t>
      </w:r>
      <w:r w:rsidR="00644011" w:rsidRPr="00C96831">
        <w:rPr>
          <w:rFonts w:ascii="Arial" w:hAnsi="Arial" w:cs="Arial"/>
          <w:sz w:val="22"/>
          <w:szCs w:val="22"/>
        </w:rPr>
        <w:t>2-</w:t>
      </w:r>
      <w:r w:rsidR="0031589F">
        <w:rPr>
          <w:rFonts w:ascii="Arial" w:hAnsi="Arial" w:cs="Arial"/>
          <w:sz w:val="22"/>
          <w:szCs w:val="22"/>
        </w:rPr>
        <w:t>2</w:t>
      </w:r>
      <w:r w:rsidR="002F6453">
        <w:rPr>
          <w:rFonts w:ascii="Arial" w:hAnsi="Arial" w:cs="Arial"/>
          <w:sz w:val="22"/>
          <w:szCs w:val="22"/>
        </w:rPr>
        <w:t>1</w:t>
      </w:r>
      <w:r w:rsidR="0031589F">
        <w:rPr>
          <w:rFonts w:ascii="Arial" w:hAnsi="Arial" w:cs="Arial"/>
          <w:sz w:val="22"/>
          <w:szCs w:val="22"/>
        </w:rPr>
        <w:t xml:space="preserve">-1 </w:t>
      </w:r>
      <w:r w:rsidR="005D7729" w:rsidRPr="00C96831">
        <w:rPr>
          <w:rFonts w:ascii="Arial" w:hAnsi="Arial" w:cs="Arial"/>
          <w:sz w:val="22"/>
          <w:szCs w:val="22"/>
        </w:rPr>
        <w:t>(zasilenie)</w:t>
      </w:r>
      <w:r w:rsidR="00F95CC2" w:rsidRPr="00C96831">
        <w:rPr>
          <w:rFonts w:ascii="Arial" w:hAnsi="Arial" w:cs="Arial"/>
          <w:sz w:val="22"/>
          <w:szCs w:val="22"/>
        </w:rPr>
        <w:t>/</w:t>
      </w:r>
      <w:r w:rsidRPr="00C96831">
        <w:rPr>
          <w:rFonts w:ascii="Arial" w:hAnsi="Arial" w:cs="Arial"/>
          <w:sz w:val="22"/>
          <w:szCs w:val="22"/>
        </w:rPr>
        <w:t xml:space="preserve">Ma konta </w:t>
      </w:r>
      <w:r w:rsidRPr="007E080D">
        <w:rPr>
          <w:rFonts w:ascii="Arial" w:hAnsi="Arial" w:cs="Arial"/>
          <w:sz w:val="22"/>
          <w:szCs w:val="22"/>
        </w:rPr>
        <w:t>223</w:t>
      </w:r>
      <w:r w:rsidR="00F95CC2" w:rsidRPr="007E080D">
        <w:rPr>
          <w:rFonts w:ascii="Arial" w:hAnsi="Arial" w:cs="Arial"/>
          <w:sz w:val="22"/>
          <w:szCs w:val="22"/>
        </w:rPr>
        <w:t>-</w:t>
      </w:r>
      <w:r w:rsidR="0042304F">
        <w:rPr>
          <w:rFonts w:ascii="Arial" w:hAnsi="Arial" w:cs="Arial"/>
          <w:sz w:val="22"/>
          <w:szCs w:val="22"/>
        </w:rPr>
        <w:t>2</w:t>
      </w:r>
      <w:r w:rsidR="002F6453">
        <w:rPr>
          <w:rFonts w:ascii="Arial" w:hAnsi="Arial" w:cs="Arial"/>
          <w:sz w:val="22"/>
          <w:szCs w:val="22"/>
        </w:rPr>
        <w:t>1</w:t>
      </w:r>
      <w:r w:rsidR="0042304F">
        <w:rPr>
          <w:rFonts w:ascii="Arial" w:hAnsi="Arial" w:cs="Arial"/>
          <w:sz w:val="22"/>
          <w:szCs w:val="22"/>
        </w:rPr>
        <w:t>-1</w:t>
      </w:r>
    </w:p>
    <w:p w:rsidR="008D33F4" w:rsidRPr="008D33F4" w:rsidRDefault="008D33F4" w:rsidP="00EA3E28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D33F4">
        <w:rPr>
          <w:rFonts w:ascii="Arial" w:hAnsi="Arial" w:cs="Arial"/>
          <w:sz w:val="22"/>
          <w:szCs w:val="22"/>
        </w:rPr>
        <w:t>Faktura (rachunek)</w:t>
      </w:r>
    </w:p>
    <w:p w:rsidR="008D33F4" w:rsidRDefault="008D33F4" w:rsidP="008D33F4">
      <w:pPr>
        <w:spacing w:line="360" w:lineRule="auto"/>
        <w:jc w:val="both"/>
      </w:pPr>
      <w:r>
        <w:tab/>
      </w:r>
      <w:proofErr w:type="spellStart"/>
      <w:r>
        <w:t>Wn</w:t>
      </w:r>
      <w:proofErr w:type="spellEnd"/>
      <w:r>
        <w:t xml:space="preserve"> 402/ Ma 201-1</w:t>
      </w:r>
    </w:p>
    <w:p w:rsidR="00FD6D0C" w:rsidRPr="00C96831" w:rsidRDefault="002238F7" w:rsidP="00EA3E28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96831">
        <w:rPr>
          <w:rFonts w:ascii="Arial" w:hAnsi="Arial" w:cs="Arial"/>
          <w:sz w:val="22"/>
          <w:szCs w:val="22"/>
        </w:rPr>
        <w:t>Zapłata faktur</w:t>
      </w:r>
    </w:p>
    <w:p w:rsidR="006A7077" w:rsidRDefault="00FD6D0C" w:rsidP="002238F7">
      <w:pPr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  <w:proofErr w:type="spellStart"/>
      <w:r w:rsidRPr="00C96831">
        <w:rPr>
          <w:rFonts w:ascii="Arial" w:hAnsi="Arial" w:cs="Arial"/>
          <w:sz w:val="22"/>
          <w:szCs w:val="22"/>
        </w:rPr>
        <w:t>Wn</w:t>
      </w:r>
      <w:proofErr w:type="spellEnd"/>
      <w:r w:rsidRPr="00C96831">
        <w:rPr>
          <w:rFonts w:ascii="Arial" w:hAnsi="Arial" w:cs="Arial"/>
          <w:sz w:val="22"/>
          <w:szCs w:val="22"/>
        </w:rPr>
        <w:t xml:space="preserve"> 201-</w:t>
      </w:r>
      <w:r w:rsidR="00D67987" w:rsidRPr="00C96831">
        <w:rPr>
          <w:rFonts w:ascii="Arial" w:hAnsi="Arial" w:cs="Arial"/>
          <w:sz w:val="22"/>
          <w:szCs w:val="22"/>
        </w:rPr>
        <w:t>1</w:t>
      </w:r>
      <w:r w:rsidR="00870ABA" w:rsidRPr="00C96831">
        <w:rPr>
          <w:rFonts w:ascii="Arial" w:hAnsi="Arial" w:cs="Arial"/>
          <w:sz w:val="22"/>
          <w:szCs w:val="22"/>
        </w:rPr>
        <w:t xml:space="preserve"> </w:t>
      </w:r>
      <w:r w:rsidRPr="00C96831">
        <w:rPr>
          <w:rFonts w:ascii="Arial" w:hAnsi="Arial" w:cs="Arial"/>
          <w:sz w:val="22"/>
          <w:szCs w:val="22"/>
        </w:rPr>
        <w:t>/ Ma 130-</w:t>
      </w:r>
      <w:r w:rsidR="00D67987" w:rsidRPr="00C96831">
        <w:rPr>
          <w:rFonts w:ascii="Arial" w:hAnsi="Arial" w:cs="Arial"/>
          <w:sz w:val="22"/>
          <w:szCs w:val="22"/>
        </w:rPr>
        <w:t>2-</w:t>
      </w:r>
      <w:r w:rsidR="0031589F">
        <w:rPr>
          <w:rFonts w:ascii="Arial" w:hAnsi="Arial" w:cs="Arial"/>
          <w:sz w:val="22"/>
          <w:szCs w:val="22"/>
        </w:rPr>
        <w:t>2</w:t>
      </w:r>
      <w:r w:rsidR="008D33F4">
        <w:rPr>
          <w:rFonts w:ascii="Arial" w:hAnsi="Arial" w:cs="Arial"/>
          <w:sz w:val="22"/>
          <w:szCs w:val="22"/>
        </w:rPr>
        <w:t>1</w:t>
      </w:r>
      <w:r w:rsidR="0031589F">
        <w:rPr>
          <w:rFonts w:ascii="Arial" w:hAnsi="Arial" w:cs="Arial"/>
          <w:sz w:val="22"/>
          <w:szCs w:val="22"/>
        </w:rPr>
        <w:t xml:space="preserve">-2 </w:t>
      </w:r>
      <w:r w:rsidR="005D7729" w:rsidRPr="00C96831">
        <w:rPr>
          <w:rFonts w:ascii="Arial" w:hAnsi="Arial" w:cs="Arial"/>
          <w:sz w:val="22"/>
          <w:szCs w:val="22"/>
        </w:rPr>
        <w:t>(wydatek)</w:t>
      </w:r>
      <w:r w:rsidR="00737893" w:rsidRPr="00C96831">
        <w:rPr>
          <w:rFonts w:ascii="Arial" w:hAnsi="Arial" w:cs="Arial"/>
          <w:sz w:val="22"/>
          <w:szCs w:val="22"/>
        </w:rPr>
        <w:t xml:space="preserve">  </w:t>
      </w:r>
    </w:p>
    <w:p w:rsidR="008D33F4" w:rsidRPr="00EA3E28" w:rsidRDefault="008D33F4" w:rsidP="00EA3E28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A3E28">
        <w:rPr>
          <w:rFonts w:ascii="Arial" w:hAnsi="Arial" w:cs="Arial"/>
          <w:sz w:val="22"/>
          <w:szCs w:val="22"/>
        </w:rPr>
        <w:t>Lista płac – naliczenie</w:t>
      </w:r>
    </w:p>
    <w:p w:rsidR="008D33F4" w:rsidRPr="00EA3E28" w:rsidRDefault="00EA3E28" w:rsidP="008D33F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Wn</w:t>
      </w:r>
      <w:proofErr w:type="spellEnd"/>
      <w:r>
        <w:rPr>
          <w:rFonts w:ascii="Arial" w:hAnsi="Arial" w:cs="Arial"/>
          <w:sz w:val="22"/>
          <w:szCs w:val="22"/>
        </w:rPr>
        <w:t xml:space="preserve"> 404-2</w:t>
      </w:r>
      <w:r w:rsidR="008D33F4" w:rsidRPr="00EA3E28">
        <w:rPr>
          <w:rFonts w:ascii="Arial" w:hAnsi="Arial" w:cs="Arial"/>
          <w:sz w:val="22"/>
          <w:szCs w:val="22"/>
        </w:rPr>
        <w:t xml:space="preserve"> / Ma 231 wynagrodzenie brutto</w:t>
      </w:r>
    </w:p>
    <w:p w:rsidR="008D33F4" w:rsidRPr="00EA3E28" w:rsidRDefault="008D33F4" w:rsidP="008D33F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A3E28">
        <w:rPr>
          <w:rFonts w:ascii="Arial" w:hAnsi="Arial" w:cs="Arial"/>
          <w:sz w:val="22"/>
          <w:szCs w:val="22"/>
        </w:rPr>
        <w:tab/>
      </w:r>
      <w:proofErr w:type="spellStart"/>
      <w:r w:rsidRPr="00EA3E28">
        <w:rPr>
          <w:rFonts w:ascii="Arial" w:hAnsi="Arial" w:cs="Arial"/>
          <w:sz w:val="22"/>
          <w:szCs w:val="22"/>
        </w:rPr>
        <w:t>Wn</w:t>
      </w:r>
      <w:proofErr w:type="spellEnd"/>
      <w:r w:rsidRPr="00EA3E28">
        <w:rPr>
          <w:rFonts w:ascii="Arial" w:hAnsi="Arial" w:cs="Arial"/>
          <w:sz w:val="22"/>
          <w:szCs w:val="22"/>
        </w:rPr>
        <w:t xml:space="preserve"> 231/ Ma 225-1-1 podatek dochodowy</w:t>
      </w:r>
    </w:p>
    <w:p w:rsidR="008D33F4" w:rsidRPr="00EA3E28" w:rsidRDefault="008D33F4" w:rsidP="008D33F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A3E28">
        <w:rPr>
          <w:rFonts w:ascii="Arial" w:hAnsi="Arial" w:cs="Arial"/>
          <w:sz w:val="22"/>
          <w:szCs w:val="22"/>
        </w:rPr>
        <w:tab/>
      </w:r>
      <w:proofErr w:type="spellStart"/>
      <w:r w:rsidRPr="00EA3E28">
        <w:rPr>
          <w:rFonts w:ascii="Arial" w:hAnsi="Arial" w:cs="Arial"/>
          <w:sz w:val="22"/>
          <w:szCs w:val="22"/>
        </w:rPr>
        <w:t>Wn</w:t>
      </w:r>
      <w:proofErr w:type="spellEnd"/>
      <w:r w:rsidRPr="00EA3E28">
        <w:rPr>
          <w:rFonts w:ascii="Arial" w:hAnsi="Arial" w:cs="Arial"/>
          <w:sz w:val="22"/>
          <w:szCs w:val="22"/>
        </w:rPr>
        <w:t xml:space="preserve"> 231/ Ma 229-1-2 składka na ubezpieczenie zdrowotne </w:t>
      </w:r>
    </w:p>
    <w:p w:rsidR="00EA3E28" w:rsidRDefault="00EA3E28" w:rsidP="00EA3E28">
      <w:pPr>
        <w:spacing w:line="360" w:lineRule="auto"/>
        <w:ind w:left="360"/>
        <w:jc w:val="both"/>
      </w:pPr>
      <w:r>
        <w:t>5.  Lista płac – wypłata</w:t>
      </w:r>
    </w:p>
    <w:p w:rsidR="00EA3E28" w:rsidRDefault="00EA3E28" w:rsidP="00EA3E28">
      <w:pPr>
        <w:spacing w:line="360" w:lineRule="auto"/>
        <w:jc w:val="both"/>
      </w:pPr>
      <w:r>
        <w:tab/>
      </w:r>
      <w:proofErr w:type="spellStart"/>
      <w:r>
        <w:t>Wn</w:t>
      </w:r>
      <w:proofErr w:type="spellEnd"/>
      <w:r>
        <w:t xml:space="preserve"> 231/ 130-2-21-2 (wydatek)</w:t>
      </w:r>
    </w:p>
    <w:p w:rsidR="00EA3E28" w:rsidRDefault="00EA3E28" w:rsidP="00EA3E28">
      <w:pPr>
        <w:spacing w:line="360" w:lineRule="auto"/>
        <w:jc w:val="both"/>
      </w:pPr>
      <w:r>
        <w:tab/>
      </w:r>
      <w:proofErr w:type="spellStart"/>
      <w:r>
        <w:t>Wn</w:t>
      </w:r>
      <w:proofErr w:type="spellEnd"/>
      <w:r>
        <w:t xml:space="preserve"> 225-1-1 / 130-2-21-2 (wydatek)</w:t>
      </w:r>
    </w:p>
    <w:p w:rsidR="008D33F4" w:rsidRPr="00EA3E28" w:rsidRDefault="00EA3E28" w:rsidP="00EA3E28">
      <w:pPr>
        <w:spacing w:line="360" w:lineRule="auto"/>
        <w:jc w:val="both"/>
      </w:pPr>
      <w:r>
        <w:t xml:space="preserve">            </w:t>
      </w:r>
      <w:proofErr w:type="spellStart"/>
      <w:r>
        <w:t>Wn</w:t>
      </w:r>
      <w:proofErr w:type="spellEnd"/>
      <w:r>
        <w:t xml:space="preserve"> 229-1-2 / 130-2-21-2 (wydatek)</w:t>
      </w:r>
    </w:p>
    <w:p w:rsidR="00E732A4" w:rsidRPr="00EA3E28" w:rsidRDefault="00E732A4" w:rsidP="00EA3E28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A3E28">
        <w:rPr>
          <w:rFonts w:ascii="Arial" w:hAnsi="Arial" w:cs="Arial"/>
          <w:color w:val="000000" w:themeColor="text1"/>
          <w:sz w:val="22"/>
          <w:szCs w:val="22"/>
        </w:rPr>
        <w:t>Przekazanie niewykorzystanych środków na rachunek transferowy Projektu:</w:t>
      </w:r>
    </w:p>
    <w:p w:rsidR="00E732A4" w:rsidRPr="00C96831" w:rsidRDefault="00E732A4" w:rsidP="00E732A4">
      <w:pPr>
        <w:pStyle w:val="Akapitzlist"/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proofErr w:type="spellStart"/>
      <w:r w:rsidRPr="00C96831">
        <w:rPr>
          <w:rFonts w:ascii="Arial" w:hAnsi="Arial" w:cs="Arial"/>
          <w:color w:val="000000" w:themeColor="text1"/>
          <w:sz w:val="22"/>
          <w:szCs w:val="22"/>
        </w:rPr>
        <w:t>Wn</w:t>
      </w:r>
      <w:proofErr w:type="spellEnd"/>
      <w:r w:rsidRPr="00C96831">
        <w:rPr>
          <w:rFonts w:ascii="Arial" w:hAnsi="Arial" w:cs="Arial"/>
          <w:color w:val="000000" w:themeColor="text1"/>
          <w:sz w:val="22"/>
          <w:szCs w:val="22"/>
        </w:rPr>
        <w:t xml:space="preserve"> konta 223</w:t>
      </w:r>
      <w:r w:rsidR="00D430FD" w:rsidRPr="00C96831">
        <w:rPr>
          <w:rFonts w:ascii="Arial" w:hAnsi="Arial" w:cs="Arial"/>
          <w:color w:val="000000" w:themeColor="text1"/>
          <w:sz w:val="22"/>
          <w:szCs w:val="22"/>
        </w:rPr>
        <w:t>-</w:t>
      </w:r>
      <w:r w:rsidR="0042304F">
        <w:rPr>
          <w:rFonts w:ascii="Arial" w:hAnsi="Arial" w:cs="Arial"/>
          <w:color w:val="000000" w:themeColor="text1"/>
          <w:sz w:val="22"/>
          <w:szCs w:val="22"/>
        </w:rPr>
        <w:t>2</w:t>
      </w:r>
      <w:r w:rsidR="00EA3E28">
        <w:rPr>
          <w:rFonts w:ascii="Arial" w:hAnsi="Arial" w:cs="Arial"/>
          <w:color w:val="000000" w:themeColor="text1"/>
          <w:sz w:val="22"/>
          <w:szCs w:val="22"/>
        </w:rPr>
        <w:t>1</w:t>
      </w:r>
      <w:r w:rsidR="0042304F">
        <w:rPr>
          <w:rFonts w:ascii="Arial" w:hAnsi="Arial" w:cs="Arial"/>
          <w:color w:val="000000" w:themeColor="text1"/>
          <w:sz w:val="22"/>
          <w:szCs w:val="22"/>
        </w:rPr>
        <w:t>-1</w:t>
      </w:r>
      <w:r w:rsidR="00EA3E28">
        <w:rPr>
          <w:rFonts w:ascii="Arial" w:hAnsi="Arial" w:cs="Arial"/>
          <w:color w:val="000000" w:themeColor="text1"/>
          <w:sz w:val="22"/>
          <w:szCs w:val="22"/>
        </w:rPr>
        <w:t xml:space="preserve"> /Ma konta 130-2-</w:t>
      </w:r>
      <w:r w:rsidR="00812125">
        <w:rPr>
          <w:rFonts w:ascii="Arial" w:hAnsi="Arial" w:cs="Arial"/>
          <w:color w:val="000000" w:themeColor="text1"/>
          <w:sz w:val="22"/>
          <w:szCs w:val="22"/>
        </w:rPr>
        <w:t>2</w:t>
      </w:r>
      <w:r w:rsidR="00EA3E28">
        <w:rPr>
          <w:rFonts w:ascii="Arial" w:hAnsi="Arial" w:cs="Arial"/>
          <w:color w:val="000000" w:themeColor="text1"/>
          <w:sz w:val="22"/>
          <w:szCs w:val="22"/>
        </w:rPr>
        <w:t>1</w:t>
      </w:r>
      <w:r w:rsidRPr="00C96831">
        <w:rPr>
          <w:rFonts w:ascii="Arial" w:hAnsi="Arial" w:cs="Arial"/>
          <w:color w:val="000000" w:themeColor="text1"/>
          <w:sz w:val="22"/>
          <w:szCs w:val="22"/>
        </w:rPr>
        <w:t>-1</w:t>
      </w:r>
    </w:p>
    <w:p w:rsidR="00BF059D" w:rsidRPr="00C96831" w:rsidRDefault="00BF059D" w:rsidP="00EA3E28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96831">
        <w:rPr>
          <w:rFonts w:ascii="Arial" w:hAnsi="Arial" w:cs="Arial"/>
          <w:sz w:val="22"/>
          <w:szCs w:val="22"/>
        </w:rPr>
        <w:t xml:space="preserve">Naliczenie odsetek </w:t>
      </w:r>
      <w:r w:rsidR="001C3E60" w:rsidRPr="00C96831">
        <w:rPr>
          <w:rFonts w:ascii="Arial" w:hAnsi="Arial" w:cs="Arial"/>
          <w:sz w:val="22"/>
          <w:szCs w:val="22"/>
        </w:rPr>
        <w:t xml:space="preserve">przez bank </w:t>
      </w:r>
      <w:r w:rsidRPr="00C96831">
        <w:rPr>
          <w:rFonts w:ascii="Arial" w:hAnsi="Arial" w:cs="Arial"/>
          <w:sz w:val="22"/>
          <w:szCs w:val="22"/>
        </w:rPr>
        <w:t>od salda dodatniego:</w:t>
      </w:r>
    </w:p>
    <w:p w:rsidR="00BF059D" w:rsidRPr="00C96831" w:rsidRDefault="008D33F4" w:rsidP="00BF059D">
      <w:pPr>
        <w:pStyle w:val="Akapitzlist"/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Wn</w:t>
      </w:r>
      <w:proofErr w:type="spellEnd"/>
      <w:r>
        <w:rPr>
          <w:rFonts w:ascii="Arial" w:hAnsi="Arial" w:cs="Arial"/>
          <w:sz w:val="22"/>
          <w:szCs w:val="22"/>
        </w:rPr>
        <w:t xml:space="preserve"> konta 130-2-</w:t>
      </w:r>
      <w:r w:rsidR="00812125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1</w:t>
      </w:r>
      <w:r w:rsidR="004360B6" w:rsidRPr="00C96831">
        <w:rPr>
          <w:rFonts w:ascii="Arial" w:hAnsi="Arial" w:cs="Arial"/>
          <w:sz w:val="22"/>
          <w:szCs w:val="22"/>
        </w:rPr>
        <w:t>-</w:t>
      </w:r>
      <w:r w:rsidR="00D430FD" w:rsidRPr="00C96831">
        <w:rPr>
          <w:rFonts w:ascii="Arial" w:hAnsi="Arial" w:cs="Arial"/>
          <w:sz w:val="22"/>
          <w:szCs w:val="22"/>
        </w:rPr>
        <w:t>6</w:t>
      </w:r>
      <w:r w:rsidR="00DB415C" w:rsidRPr="00C96831">
        <w:rPr>
          <w:rFonts w:ascii="Arial" w:hAnsi="Arial" w:cs="Arial"/>
          <w:sz w:val="22"/>
          <w:szCs w:val="22"/>
        </w:rPr>
        <w:t xml:space="preserve"> </w:t>
      </w:r>
      <w:r w:rsidR="00D430FD" w:rsidRPr="00C96831">
        <w:rPr>
          <w:rFonts w:ascii="Arial" w:hAnsi="Arial" w:cs="Arial"/>
          <w:sz w:val="22"/>
          <w:szCs w:val="22"/>
        </w:rPr>
        <w:t>(sumy do wyjaśnienia) /Ma konta 245-11</w:t>
      </w:r>
    </w:p>
    <w:p w:rsidR="00BF059D" w:rsidRPr="00C96831" w:rsidRDefault="00BF059D" w:rsidP="00EA3E28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96831">
        <w:rPr>
          <w:rFonts w:ascii="Arial" w:hAnsi="Arial" w:cs="Arial"/>
          <w:sz w:val="22"/>
          <w:szCs w:val="22"/>
        </w:rPr>
        <w:t>Przelew odsetek na konto dochodów:</w:t>
      </w:r>
    </w:p>
    <w:p w:rsidR="00BF059D" w:rsidRPr="00C96831" w:rsidRDefault="00BF059D" w:rsidP="00BF059D">
      <w:pPr>
        <w:pStyle w:val="Akapitzlist"/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C96831">
        <w:rPr>
          <w:rFonts w:ascii="Arial" w:hAnsi="Arial" w:cs="Arial"/>
          <w:sz w:val="22"/>
          <w:szCs w:val="22"/>
        </w:rPr>
        <w:t>Wn</w:t>
      </w:r>
      <w:proofErr w:type="spellEnd"/>
      <w:r w:rsidR="008D33F4">
        <w:rPr>
          <w:rFonts w:ascii="Arial" w:hAnsi="Arial" w:cs="Arial"/>
          <w:sz w:val="22"/>
          <w:szCs w:val="22"/>
        </w:rPr>
        <w:t xml:space="preserve"> konta 245-11/ Ma konta 130-2-</w:t>
      </w:r>
      <w:r w:rsidR="00812125">
        <w:rPr>
          <w:rFonts w:ascii="Arial" w:hAnsi="Arial" w:cs="Arial"/>
          <w:sz w:val="22"/>
          <w:szCs w:val="22"/>
        </w:rPr>
        <w:t>2</w:t>
      </w:r>
      <w:r w:rsidR="008D33F4">
        <w:rPr>
          <w:rFonts w:ascii="Arial" w:hAnsi="Arial" w:cs="Arial"/>
          <w:sz w:val="22"/>
          <w:szCs w:val="22"/>
        </w:rPr>
        <w:t>1</w:t>
      </w:r>
      <w:r w:rsidR="00D430FD" w:rsidRPr="00C96831">
        <w:rPr>
          <w:rFonts w:ascii="Arial" w:hAnsi="Arial" w:cs="Arial"/>
          <w:sz w:val="22"/>
          <w:szCs w:val="22"/>
        </w:rPr>
        <w:t>-6</w:t>
      </w:r>
      <w:r w:rsidR="00812125">
        <w:rPr>
          <w:rFonts w:ascii="Arial" w:hAnsi="Arial" w:cs="Arial"/>
          <w:sz w:val="22"/>
          <w:szCs w:val="22"/>
        </w:rPr>
        <w:t xml:space="preserve"> </w:t>
      </w:r>
      <w:r w:rsidRPr="00C96831">
        <w:rPr>
          <w:rFonts w:ascii="Arial" w:hAnsi="Arial" w:cs="Arial"/>
          <w:sz w:val="22"/>
          <w:szCs w:val="22"/>
        </w:rPr>
        <w:t>(odsetki)</w:t>
      </w:r>
    </w:p>
    <w:p w:rsidR="006E3110" w:rsidRPr="00C96831" w:rsidRDefault="006E3110" w:rsidP="00BF059D">
      <w:pPr>
        <w:pStyle w:val="Akapitzlist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BA0BD8" w:rsidRDefault="00FD6D0C" w:rsidP="00642C26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C96831">
        <w:rPr>
          <w:rFonts w:ascii="Arial" w:hAnsi="Arial" w:cs="Arial"/>
          <w:b/>
          <w:sz w:val="22"/>
          <w:szCs w:val="22"/>
        </w:rPr>
        <w:t>Konta pozabilansowe</w:t>
      </w:r>
      <w:r w:rsidR="00642C26" w:rsidRPr="00C96831">
        <w:rPr>
          <w:rFonts w:ascii="Arial" w:hAnsi="Arial" w:cs="Arial"/>
          <w:b/>
          <w:sz w:val="22"/>
          <w:szCs w:val="22"/>
        </w:rPr>
        <w:t>:</w:t>
      </w:r>
    </w:p>
    <w:p w:rsidR="00BA0BD8" w:rsidRPr="00C96831" w:rsidRDefault="00BA0BD8" w:rsidP="00642C26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FE51D6" w:rsidRPr="00FE51D6" w:rsidRDefault="00FE51D6" w:rsidP="00FE51D6">
      <w:pPr>
        <w:pStyle w:val="Akapitzlist"/>
        <w:numPr>
          <w:ilvl w:val="0"/>
          <w:numId w:val="22"/>
        </w:numPr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FE51D6">
        <w:rPr>
          <w:rFonts w:ascii="Arial" w:hAnsi="Arial" w:cs="Arial"/>
          <w:sz w:val="22"/>
          <w:szCs w:val="22"/>
        </w:rPr>
        <w:t xml:space="preserve">Zatwierdzony plan wydatków budżetowych dotyczący projektu księgowany jest </w:t>
      </w:r>
      <w:r w:rsidRPr="00FE51D6">
        <w:rPr>
          <w:rFonts w:ascii="Arial" w:hAnsi="Arial" w:cs="Arial"/>
          <w:sz w:val="22"/>
          <w:szCs w:val="22"/>
        </w:rPr>
        <w:br/>
        <w:t xml:space="preserve">na stronie </w:t>
      </w:r>
      <w:proofErr w:type="spellStart"/>
      <w:r w:rsidRPr="00FE51D6">
        <w:rPr>
          <w:rFonts w:ascii="Arial" w:hAnsi="Arial" w:cs="Arial"/>
          <w:sz w:val="22"/>
          <w:szCs w:val="22"/>
        </w:rPr>
        <w:t>Wn</w:t>
      </w:r>
      <w:proofErr w:type="spellEnd"/>
      <w:r w:rsidRPr="00FE51D6">
        <w:rPr>
          <w:rFonts w:ascii="Arial" w:hAnsi="Arial" w:cs="Arial"/>
          <w:sz w:val="22"/>
          <w:szCs w:val="22"/>
        </w:rPr>
        <w:t xml:space="preserve"> konta 980.</w:t>
      </w:r>
    </w:p>
    <w:p w:rsidR="00FE51D6" w:rsidRPr="00FE51D6" w:rsidRDefault="00FE51D6" w:rsidP="00FE51D6">
      <w:pPr>
        <w:pStyle w:val="Akapitzlist"/>
        <w:numPr>
          <w:ilvl w:val="0"/>
          <w:numId w:val="22"/>
        </w:numPr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FE51D6">
        <w:rPr>
          <w:rFonts w:ascii="Arial" w:hAnsi="Arial" w:cs="Arial"/>
          <w:sz w:val="22"/>
          <w:szCs w:val="22"/>
        </w:rPr>
        <w:t>Zrealizowane wydatki budżetowe księgowane są na stronę Ma konta 980.</w:t>
      </w:r>
    </w:p>
    <w:p w:rsidR="00FE51D6" w:rsidRPr="00FE51D6" w:rsidRDefault="00FE51D6" w:rsidP="00FE51D6">
      <w:pPr>
        <w:pStyle w:val="Akapitzlist"/>
        <w:numPr>
          <w:ilvl w:val="0"/>
          <w:numId w:val="22"/>
        </w:numPr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FE51D6">
        <w:rPr>
          <w:rFonts w:ascii="Arial" w:hAnsi="Arial" w:cs="Arial"/>
          <w:sz w:val="22"/>
          <w:szCs w:val="22"/>
        </w:rPr>
        <w:t xml:space="preserve">Zaangażowane wydatki roku bieżącego księgowane są na stronie Ma konta 998 </w:t>
      </w:r>
      <w:r w:rsidRPr="00FE51D6">
        <w:rPr>
          <w:rFonts w:ascii="Arial" w:hAnsi="Arial" w:cs="Arial"/>
          <w:sz w:val="22"/>
          <w:szCs w:val="22"/>
        </w:rPr>
        <w:br/>
        <w:t xml:space="preserve">na podstawie podpisanych umów. Zrealizowane wydatki budżetowe ewidencjonowane są na stronie  </w:t>
      </w:r>
      <w:proofErr w:type="spellStart"/>
      <w:r w:rsidRPr="00FE51D6">
        <w:rPr>
          <w:rFonts w:ascii="Arial" w:hAnsi="Arial" w:cs="Arial"/>
          <w:sz w:val="22"/>
          <w:szCs w:val="22"/>
        </w:rPr>
        <w:t>Wn</w:t>
      </w:r>
      <w:proofErr w:type="spellEnd"/>
      <w:r w:rsidRPr="00FE51D6">
        <w:rPr>
          <w:rFonts w:ascii="Arial" w:hAnsi="Arial" w:cs="Arial"/>
          <w:sz w:val="22"/>
          <w:szCs w:val="22"/>
        </w:rPr>
        <w:t xml:space="preserve"> konta 998 na koniec okresu sprawozdawczego jednocześnie </w:t>
      </w:r>
      <w:r w:rsidRPr="00FE51D6">
        <w:rPr>
          <w:rFonts w:ascii="Arial" w:hAnsi="Arial" w:cs="Arial"/>
          <w:sz w:val="22"/>
          <w:szCs w:val="22"/>
        </w:rPr>
        <w:br/>
        <w:t>z wydatkiem.</w:t>
      </w:r>
    </w:p>
    <w:p w:rsidR="00FE51D6" w:rsidRPr="00FE51D6" w:rsidRDefault="00FE51D6" w:rsidP="00FE51D6">
      <w:pPr>
        <w:pStyle w:val="Akapitzlist"/>
        <w:numPr>
          <w:ilvl w:val="0"/>
          <w:numId w:val="22"/>
        </w:numPr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FE51D6">
        <w:rPr>
          <w:rFonts w:ascii="Arial" w:hAnsi="Arial" w:cs="Arial"/>
          <w:sz w:val="22"/>
          <w:szCs w:val="22"/>
        </w:rPr>
        <w:t>Zaangażowane wydatki przyszłych okresów księgowane są na stronie Ma konta 999 na podstawie podpisanych umów.</w:t>
      </w:r>
    </w:p>
    <w:p w:rsidR="00BA0BD8" w:rsidRPr="0071775F" w:rsidRDefault="00BA0BD8" w:rsidP="0071775F">
      <w:pPr>
        <w:spacing w:line="360" w:lineRule="auto"/>
        <w:ind w:left="851"/>
        <w:jc w:val="both"/>
        <w:rPr>
          <w:rFonts w:ascii="Arial" w:hAnsi="Arial" w:cs="Arial"/>
          <w:sz w:val="22"/>
          <w:szCs w:val="22"/>
        </w:rPr>
      </w:pPr>
    </w:p>
    <w:p w:rsidR="00BF2072" w:rsidRPr="00C96831" w:rsidRDefault="00BF2072" w:rsidP="00BF2072">
      <w:pPr>
        <w:pStyle w:val="Akapitzlist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232D3" w:rsidRPr="00C96831" w:rsidRDefault="00F63380" w:rsidP="00B358D5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C96831">
        <w:rPr>
          <w:rFonts w:ascii="Arial" w:hAnsi="Arial" w:cs="Arial"/>
          <w:b/>
          <w:sz w:val="22"/>
          <w:szCs w:val="22"/>
        </w:rPr>
        <w:t xml:space="preserve">III </w:t>
      </w:r>
      <w:r w:rsidR="00F232D3" w:rsidRPr="00C96831">
        <w:rPr>
          <w:rFonts w:ascii="Arial" w:hAnsi="Arial" w:cs="Arial"/>
          <w:b/>
          <w:sz w:val="22"/>
          <w:szCs w:val="22"/>
        </w:rPr>
        <w:t>Zestawienia obrotów i sald kont księgi głównej oraz kont ksiąg pomocniczych projektu</w:t>
      </w:r>
    </w:p>
    <w:p w:rsidR="00EE059F" w:rsidRPr="00C96831" w:rsidRDefault="00B31030" w:rsidP="00B358D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96831">
        <w:rPr>
          <w:rFonts w:ascii="Arial" w:hAnsi="Arial" w:cs="Arial"/>
          <w:sz w:val="22"/>
          <w:szCs w:val="22"/>
        </w:rPr>
        <w:t xml:space="preserve">Wydruk tego zestawienia zabezpiecza program komputerowy i dodatkowo potwierdza prawidłowość wyodrębnienia księgowego danego projektu. </w:t>
      </w:r>
      <w:r w:rsidRPr="00892E38">
        <w:rPr>
          <w:rFonts w:ascii="Arial" w:hAnsi="Arial" w:cs="Arial"/>
          <w:sz w:val="22"/>
          <w:szCs w:val="22"/>
        </w:rPr>
        <w:t xml:space="preserve">Najpóźniej na koniec roku </w:t>
      </w:r>
      <w:r w:rsidR="00CA42B8" w:rsidRPr="00892E38">
        <w:rPr>
          <w:rFonts w:ascii="Arial" w:hAnsi="Arial" w:cs="Arial"/>
          <w:sz w:val="22"/>
          <w:szCs w:val="22"/>
        </w:rPr>
        <w:br/>
      </w:r>
      <w:r w:rsidRPr="00892E38">
        <w:rPr>
          <w:rFonts w:ascii="Arial" w:hAnsi="Arial" w:cs="Arial"/>
          <w:sz w:val="22"/>
          <w:szCs w:val="22"/>
        </w:rPr>
        <w:t>(po dokonaniu audytu finansowego projektu)</w:t>
      </w:r>
      <w:r w:rsidRPr="00892E38">
        <w:rPr>
          <w:rFonts w:ascii="Arial" w:hAnsi="Arial" w:cs="Arial"/>
          <w:color w:val="FF0000"/>
          <w:sz w:val="22"/>
          <w:szCs w:val="22"/>
        </w:rPr>
        <w:t xml:space="preserve"> </w:t>
      </w:r>
      <w:r w:rsidRPr="00892E38">
        <w:rPr>
          <w:rFonts w:ascii="Arial" w:hAnsi="Arial" w:cs="Arial"/>
          <w:sz w:val="22"/>
          <w:szCs w:val="22"/>
        </w:rPr>
        <w:t>następuje zapis tego zestawienia oraz dziennika projektu na trwałym informatycznym nośniku.</w:t>
      </w:r>
    </w:p>
    <w:p w:rsidR="00EE059F" w:rsidRDefault="00EE059F" w:rsidP="00EE059F">
      <w:pPr>
        <w:spacing w:line="360" w:lineRule="auto"/>
        <w:jc w:val="both"/>
        <w:rPr>
          <w:b/>
        </w:rPr>
      </w:pPr>
    </w:p>
    <w:p w:rsidR="00F232D3" w:rsidRPr="00EE059F" w:rsidRDefault="00F232D3" w:rsidP="00EE059F"/>
    <w:sectPr w:rsidR="00F232D3" w:rsidRPr="00EE059F" w:rsidSect="00B358D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44B7" w:rsidRDefault="000544B7">
      <w:r>
        <w:separator/>
      </w:r>
    </w:p>
  </w:endnote>
  <w:endnote w:type="continuationSeparator" w:id="0">
    <w:p w:rsidR="000544B7" w:rsidRDefault="00054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5179" w:rsidRDefault="00F2517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5179" w:rsidRDefault="00F25179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5179" w:rsidRDefault="00F2517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44B7" w:rsidRDefault="000544B7">
      <w:r>
        <w:separator/>
      </w:r>
    </w:p>
  </w:footnote>
  <w:footnote w:type="continuationSeparator" w:id="0">
    <w:p w:rsidR="000544B7" w:rsidRDefault="000544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5179" w:rsidRDefault="00F2517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4587" w:rsidRDefault="00F25179">
    <w:pPr>
      <w:pStyle w:val="Nagwek"/>
    </w:pPr>
    <w:r>
      <w:rPr>
        <w:noProof/>
      </w:rPr>
      <w:drawing>
        <wp:inline distT="0" distB="0" distL="0" distR="0" wp14:anchorId="49208CA1" wp14:editId="00BFDB6D">
          <wp:extent cx="5534025" cy="664210"/>
          <wp:effectExtent l="0" t="0" r="9525" b="254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4025" cy="664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534D87" w:rsidRDefault="00534D87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5179" w:rsidRDefault="00F2517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65E67"/>
    <w:multiLevelType w:val="hybridMultilevel"/>
    <w:tmpl w:val="F1AA9FC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7312F"/>
    <w:multiLevelType w:val="hybridMultilevel"/>
    <w:tmpl w:val="C28603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7662C"/>
    <w:multiLevelType w:val="hybridMultilevel"/>
    <w:tmpl w:val="2BD2681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BE6E8F"/>
    <w:multiLevelType w:val="hybridMultilevel"/>
    <w:tmpl w:val="50DC6EAE"/>
    <w:lvl w:ilvl="0" w:tplc="A462C3D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FB4A4D"/>
    <w:multiLevelType w:val="hybridMultilevel"/>
    <w:tmpl w:val="1B0CDA40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245D2C16"/>
    <w:multiLevelType w:val="hybridMultilevel"/>
    <w:tmpl w:val="C882DE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759447E"/>
    <w:multiLevelType w:val="hybridMultilevel"/>
    <w:tmpl w:val="8BD285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FC2D61"/>
    <w:multiLevelType w:val="hybridMultilevel"/>
    <w:tmpl w:val="F2EE44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9942814"/>
    <w:multiLevelType w:val="hybridMultilevel"/>
    <w:tmpl w:val="84BA7C14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C92873"/>
    <w:multiLevelType w:val="hybridMultilevel"/>
    <w:tmpl w:val="4A1CA3E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D603B73"/>
    <w:multiLevelType w:val="hybridMultilevel"/>
    <w:tmpl w:val="13B6827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74D107B"/>
    <w:multiLevelType w:val="hybridMultilevel"/>
    <w:tmpl w:val="8E20C82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7F65A91"/>
    <w:multiLevelType w:val="hybridMultilevel"/>
    <w:tmpl w:val="4CB882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070BBC"/>
    <w:multiLevelType w:val="hybridMultilevel"/>
    <w:tmpl w:val="8D2654F6"/>
    <w:lvl w:ilvl="0" w:tplc="9AE4B392">
      <w:start w:val="1"/>
      <w:numFmt w:val="decimal"/>
      <w:lvlText w:val="%1-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937E26"/>
    <w:multiLevelType w:val="hybridMultilevel"/>
    <w:tmpl w:val="4D369A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0A109A"/>
    <w:multiLevelType w:val="multilevel"/>
    <w:tmpl w:val="4CB882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5D128A"/>
    <w:multiLevelType w:val="hybridMultilevel"/>
    <w:tmpl w:val="50DC6EAE"/>
    <w:lvl w:ilvl="0" w:tplc="A462C3D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9A6D92"/>
    <w:multiLevelType w:val="multilevel"/>
    <w:tmpl w:val="92E272D0"/>
    <w:lvl w:ilvl="0">
      <w:start w:val="510"/>
      <w:numFmt w:val="decimal"/>
      <w:lvlText w:val="%1"/>
      <w:lvlJc w:val="left"/>
      <w:pPr>
        <w:ind w:left="760" w:hanging="760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1822" w:hanging="760"/>
      </w:pPr>
      <w:rPr>
        <w:rFonts w:hint="default"/>
      </w:rPr>
    </w:lvl>
    <w:lvl w:ilvl="2">
      <w:start w:val="3"/>
      <w:numFmt w:val="decimal"/>
      <w:lvlText w:val="%1-%2-%3"/>
      <w:lvlJc w:val="left"/>
      <w:pPr>
        <w:ind w:left="2884" w:hanging="76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3946" w:hanging="76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5328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6390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7812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8874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10296" w:hanging="1800"/>
      </w:pPr>
      <w:rPr>
        <w:rFonts w:hint="default"/>
      </w:rPr>
    </w:lvl>
  </w:abstractNum>
  <w:abstractNum w:abstractNumId="18" w15:restartNumberingAfterBreak="0">
    <w:nsid w:val="610726B6"/>
    <w:multiLevelType w:val="hybridMultilevel"/>
    <w:tmpl w:val="9FB461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C984809"/>
    <w:multiLevelType w:val="hybridMultilevel"/>
    <w:tmpl w:val="E256AE3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DA057EC"/>
    <w:multiLevelType w:val="hybridMultilevel"/>
    <w:tmpl w:val="0208494A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6F0899"/>
    <w:multiLevelType w:val="hybridMultilevel"/>
    <w:tmpl w:val="EB88456C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BC2638"/>
    <w:multiLevelType w:val="hybridMultilevel"/>
    <w:tmpl w:val="3D0AFAB6"/>
    <w:lvl w:ilvl="0" w:tplc="AE6AA0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34773D"/>
    <w:multiLevelType w:val="hybridMultilevel"/>
    <w:tmpl w:val="EBDC02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1"/>
  </w:num>
  <w:num w:numId="3">
    <w:abstractNumId w:val="9"/>
  </w:num>
  <w:num w:numId="4">
    <w:abstractNumId w:val="7"/>
  </w:num>
  <w:num w:numId="5">
    <w:abstractNumId w:val="2"/>
  </w:num>
  <w:num w:numId="6">
    <w:abstractNumId w:val="23"/>
  </w:num>
  <w:num w:numId="7">
    <w:abstractNumId w:val="19"/>
  </w:num>
  <w:num w:numId="8">
    <w:abstractNumId w:val="10"/>
  </w:num>
  <w:num w:numId="9">
    <w:abstractNumId w:val="18"/>
  </w:num>
  <w:num w:numId="10">
    <w:abstractNumId w:val="13"/>
  </w:num>
  <w:num w:numId="11">
    <w:abstractNumId w:val="22"/>
  </w:num>
  <w:num w:numId="12">
    <w:abstractNumId w:val="0"/>
  </w:num>
  <w:num w:numId="13">
    <w:abstractNumId w:val="8"/>
  </w:num>
  <w:num w:numId="14">
    <w:abstractNumId w:val="21"/>
  </w:num>
  <w:num w:numId="15">
    <w:abstractNumId w:val="20"/>
  </w:num>
  <w:num w:numId="16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6"/>
  </w:num>
  <w:num w:numId="19">
    <w:abstractNumId w:val="1"/>
  </w:num>
  <w:num w:numId="20">
    <w:abstractNumId w:val="3"/>
  </w:num>
  <w:num w:numId="21">
    <w:abstractNumId w:val="14"/>
  </w:num>
  <w:num w:numId="22">
    <w:abstractNumId w:val="4"/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</w:num>
  <w:num w:numId="30">
    <w:abstractNumId w:val="15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459"/>
    <w:rsid w:val="0002474A"/>
    <w:rsid w:val="0003096E"/>
    <w:rsid w:val="00051F9A"/>
    <w:rsid w:val="000544B7"/>
    <w:rsid w:val="0006041B"/>
    <w:rsid w:val="0006233B"/>
    <w:rsid w:val="00065788"/>
    <w:rsid w:val="00066B59"/>
    <w:rsid w:val="000717A8"/>
    <w:rsid w:val="00072F2C"/>
    <w:rsid w:val="000740FC"/>
    <w:rsid w:val="0007684C"/>
    <w:rsid w:val="0007727A"/>
    <w:rsid w:val="000C3B3C"/>
    <w:rsid w:val="000D187A"/>
    <w:rsid w:val="000D60B4"/>
    <w:rsid w:val="000D6481"/>
    <w:rsid w:val="000D7340"/>
    <w:rsid w:val="0010512C"/>
    <w:rsid w:val="0011609F"/>
    <w:rsid w:val="00116B63"/>
    <w:rsid w:val="0013548B"/>
    <w:rsid w:val="00144C7A"/>
    <w:rsid w:val="00147E5C"/>
    <w:rsid w:val="0015166C"/>
    <w:rsid w:val="00151BD4"/>
    <w:rsid w:val="00164818"/>
    <w:rsid w:val="001718B5"/>
    <w:rsid w:val="00177843"/>
    <w:rsid w:val="00190FE0"/>
    <w:rsid w:val="001B35D7"/>
    <w:rsid w:val="001C3E60"/>
    <w:rsid w:val="001E20F9"/>
    <w:rsid w:val="001F0BB3"/>
    <w:rsid w:val="001F73DE"/>
    <w:rsid w:val="00201749"/>
    <w:rsid w:val="00211512"/>
    <w:rsid w:val="0021613F"/>
    <w:rsid w:val="002230DB"/>
    <w:rsid w:val="002232E9"/>
    <w:rsid w:val="002238F7"/>
    <w:rsid w:val="0023364A"/>
    <w:rsid w:val="00246421"/>
    <w:rsid w:val="0026126D"/>
    <w:rsid w:val="002679FD"/>
    <w:rsid w:val="002803DD"/>
    <w:rsid w:val="0028102C"/>
    <w:rsid w:val="0028167F"/>
    <w:rsid w:val="002A08ED"/>
    <w:rsid w:val="002B4284"/>
    <w:rsid w:val="002C7319"/>
    <w:rsid w:val="002D227C"/>
    <w:rsid w:val="002D29CF"/>
    <w:rsid w:val="002E173D"/>
    <w:rsid w:val="002E62B4"/>
    <w:rsid w:val="002F6453"/>
    <w:rsid w:val="002F76BA"/>
    <w:rsid w:val="0031077E"/>
    <w:rsid w:val="0031589F"/>
    <w:rsid w:val="00322730"/>
    <w:rsid w:val="00330688"/>
    <w:rsid w:val="0033501C"/>
    <w:rsid w:val="00340242"/>
    <w:rsid w:val="0034384D"/>
    <w:rsid w:val="00355F35"/>
    <w:rsid w:val="00377D65"/>
    <w:rsid w:val="00385C7A"/>
    <w:rsid w:val="003917DE"/>
    <w:rsid w:val="003967F4"/>
    <w:rsid w:val="003D25C8"/>
    <w:rsid w:val="003E7D0C"/>
    <w:rsid w:val="003F4587"/>
    <w:rsid w:val="00403FE5"/>
    <w:rsid w:val="0042304F"/>
    <w:rsid w:val="004360B6"/>
    <w:rsid w:val="00460944"/>
    <w:rsid w:val="004655C4"/>
    <w:rsid w:val="00466A67"/>
    <w:rsid w:val="00473459"/>
    <w:rsid w:val="00476A91"/>
    <w:rsid w:val="0049361F"/>
    <w:rsid w:val="00494BAD"/>
    <w:rsid w:val="004A0FDB"/>
    <w:rsid w:val="004A613A"/>
    <w:rsid w:val="004A6C3B"/>
    <w:rsid w:val="004B3B86"/>
    <w:rsid w:val="004B4B92"/>
    <w:rsid w:val="004C2306"/>
    <w:rsid w:val="004F1B64"/>
    <w:rsid w:val="00503EEF"/>
    <w:rsid w:val="00517567"/>
    <w:rsid w:val="00534D87"/>
    <w:rsid w:val="005476CA"/>
    <w:rsid w:val="00547A7C"/>
    <w:rsid w:val="0057202E"/>
    <w:rsid w:val="0058305D"/>
    <w:rsid w:val="005849EA"/>
    <w:rsid w:val="00587241"/>
    <w:rsid w:val="005954D9"/>
    <w:rsid w:val="005A0040"/>
    <w:rsid w:val="005A3260"/>
    <w:rsid w:val="005D2734"/>
    <w:rsid w:val="005D7729"/>
    <w:rsid w:val="005E568E"/>
    <w:rsid w:val="005F1F72"/>
    <w:rsid w:val="00613E95"/>
    <w:rsid w:val="00616482"/>
    <w:rsid w:val="0063033D"/>
    <w:rsid w:val="00632AEE"/>
    <w:rsid w:val="0063670C"/>
    <w:rsid w:val="006412E7"/>
    <w:rsid w:val="00642C26"/>
    <w:rsid w:val="00644011"/>
    <w:rsid w:val="006453A4"/>
    <w:rsid w:val="00646208"/>
    <w:rsid w:val="00651CA3"/>
    <w:rsid w:val="0065616E"/>
    <w:rsid w:val="00662860"/>
    <w:rsid w:val="00663A49"/>
    <w:rsid w:val="00674FE4"/>
    <w:rsid w:val="00694A6F"/>
    <w:rsid w:val="006A7077"/>
    <w:rsid w:val="006A73E3"/>
    <w:rsid w:val="006C4347"/>
    <w:rsid w:val="006C5590"/>
    <w:rsid w:val="006D60EE"/>
    <w:rsid w:val="006E3110"/>
    <w:rsid w:val="00700AA3"/>
    <w:rsid w:val="0071775F"/>
    <w:rsid w:val="00723D6A"/>
    <w:rsid w:val="00730436"/>
    <w:rsid w:val="007368D5"/>
    <w:rsid w:val="00737893"/>
    <w:rsid w:val="00743651"/>
    <w:rsid w:val="00756099"/>
    <w:rsid w:val="007605E8"/>
    <w:rsid w:val="00767B5B"/>
    <w:rsid w:val="00790850"/>
    <w:rsid w:val="007A0E91"/>
    <w:rsid w:val="007B76DF"/>
    <w:rsid w:val="007C4833"/>
    <w:rsid w:val="007C4A6C"/>
    <w:rsid w:val="007D1C85"/>
    <w:rsid w:val="007E080D"/>
    <w:rsid w:val="007F0CEA"/>
    <w:rsid w:val="00800465"/>
    <w:rsid w:val="00802823"/>
    <w:rsid w:val="00807D10"/>
    <w:rsid w:val="00811A8A"/>
    <w:rsid w:val="00812125"/>
    <w:rsid w:val="008150EE"/>
    <w:rsid w:val="00823192"/>
    <w:rsid w:val="008254FE"/>
    <w:rsid w:val="00840F16"/>
    <w:rsid w:val="008428B5"/>
    <w:rsid w:val="0086247B"/>
    <w:rsid w:val="0086383A"/>
    <w:rsid w:val="0086748C"/>
    <w:rsid w:val="00870ABA"/>
    <w:rsid w:val="00872B33"/>
    <w:rsid w:val="00875984"/>
    <w:rsid w:val="00892E38"/>
    <w:rsid w:val="00895041"/>
    <w:rsid w:val="00896CC7"/>
    <w:rsid w:val="008A4409"/>
    <w:rsid w:val="008A78AD"/>
    <w:rsid w:val="008B0A4A"/>
    <w:rsid w:val="008B485F"/>
    <w:rsid w:val="008B7A14"/>
    <w:rsid w:val="008C50FB"/>
    <w:rsid w:val="008C571B"/>
    <w:rsid w:val="008D2EA5"/>
    <w:rsid w:val="008D33F4"/>
    <w:rsid w:val="008E59AB"/>
    <w:rsid w:val="00904219"/>
    <w:rsid w:val="0091165D"/>
    <w:rsid w:val="0091214F"/>
    <w:rsid w:val="009166CC"/>
    <w:rsid w:val="0092129E"/>
    <w:rsid w:val="00923971"/>
    <w:rsid w:val="00941868"/>
    <w:rsid w:val="00962A0E"/>
    <w:rsid w:val="009707A5"/>
    <w:rsid w:val="0098450B"/>
    <w:rsid w:val="009851C2"/>
    <w:rsid w:val="00992070"/>
    <w:rsid w:val="00992C54"/>
    <w:rsid w:val="009A1809"/>
    <w:rsid w:val="009A7498"/>
    <w:rsid w:val="009A7CCC"/>
    <w:rsid w:val="009C27E2"/>
    <w:rsid w:val="009C3ADD"/>
    <w:rsid w:val="009C504D"/>
    <w:rsid w:val="009D126A"/>
    <w:rsid w:val="009D5413"/>
    <w:rsid w:val="009E0D49"/>
    <w:rsid w:val="00A03133"/>
    <w:rsid w:val="00A272B4"/>
    <w:rsid w:val="00A53C0A"/>
    <w:rsid w:val="00A60628"/>
    <w:rsid w:val="00A60DD6"/>
    <w:rsid w:val="00A64920"/>
    <w:rsid w:val="00A652D8"/>
    <w:rsid w:val="00A716F5"/>
    <w:rsid w:val="00A9490C"/>
    <w:rsid w:val="00AA1FD6"/>
    <w:rsid w:val="00AA53E7"/>
    <w:rsid w:val="00AB5D25"/>
    <w:rsid w:val="00AC1BA2"/>
    <w:rsid w:val="00AD2FC9"/>
    <w:rsid w:val="00AD6963"/>
    <w:rsid w:val="00AE2270"/>
    <w:rsid w:val="00B05D39"/>
    <w:rsid w:val="00B066F2"/>
    <w:rsid w:val="00B0685D"/>
    <w:rsid w:val="00B11CDF"/>
    <w:rsid w:val="00B12A15"/>
    <w:rsid w:val="00B25961"/>
    <w:rsid w:val="00B31030"/>
    <w:rsid w:val="00B358D5"/>
    <w:rsid w:val="00B40F0A"/>
    <w:rsid w:val="00B43104"/>
    <w:rsid w:val="00B4720F"/>
    <w:rsid w:val="00B54D7E"/>
    <w:rsid w:val="00B5508F"/>
    <w:rsid w:val="00B6343F"/>
    <w:rsid w:val="00B7066C"/>
    <w:rsid w:val="00B758DC"/>
    <w:rsid w:val="00B82305"/>
    <w:rsid w:val="00B84835"/>
    <w:rsid w:val="00B84CB9"/>
    <w:rsid w:val="00B868A5"/>
    <w:rsid w:val="00B95D21"/>
    <w:rsid w:val="00BA0BD8"/>
    <w:rsid w:val="00BA1A30"/>
    <w:rsid w:val="00BE068E"/>
    <w:rsid w:val="00BF059D"/>
    <w:rsid w:val="00BF2072"/>
    <w:rsid w:val="00C0195C"/>
    <w:rsid w:val="00C01CFB"/>
    <w:rsid w:val="00C02BEE"/>
    <w:rsid w:val="00C10F60"/>
    <w:rsid w:val="00C21E00"/>
    <w:rsid w:val="00C33372"/>
    <w:rsid w:val="00C40C83"/>
    <w:rsid w:val="00C41206"/>
    <w:rsid w:val="00C43AFA"/>
    <w:rsid w:val="00C446BA"/>
    <w:rsid w:val="00C46434"/>
    <w:rsid w:val="00C46600"/>
    <w:rsid w:val="00C54909"/>
    <w:rsid w:val="00C57B30"/>
    <w:rsid w:val="00C64E59"/>
    <w:rsid w:val="00C675B1"/>
    <w:rsid w:val="00C70769"/>
    <w:rsid w:val="00C81E73"/>
    <w:rsid w:val="00C92530"/>
    <w:rsid w:val="00C96831"/>
    <w:rsid w:val="00CA42B8"/>
    <w:rsid w:val="00CB55A6"/>
    <w:rsid w:val="00CC760A"/>
    <w:rsid w:val="00D04DB5"/>
    <w:rsid w:val="00D10F72"/>
    <w:rsid w:val="00D23AE6"/>
    <w:rsid w:val="00D249DA"/>
    <w:rsid w:val="00D427C8"/>
    <w:rsid w:val="00D430FD"/>
    <w:rsid w:val="00D533CB"/>
    <w:rsid w:val="00D54F9A"/>
    <w:rsid w:val="00D62A68"/>
    <w:rsid w:val="00D67987"/>
    <w:rsid w:val="00D71193"/>
    <w:rsid w:val="00D74C1B"/>
    <w:rsid w:val="00D849CA"/>
    <w:rsid w:val="00DA28B5"/>
    <w:rsid w:val="00DA3CBD"/>
    <w:rsid w:val="00DB415C"/>
    <w:rsid w:val="00DC72AF"/>
    <w:rsid w:val="00DE22E6"/>
    <w:rsid w:val="00DF051F"/>
    <w:rsid w:val="00E13EF1"/>
    <w:rsid w:val="00E142BD"/>
    <w:rsid w:val="00E226C3"/>
    <w:rsid w:val="00E27FAC"/>
    <w:rsid w:val="00E36D54"/>
    <w:rsid w:val="00E53CEF"/>
    <w:rsid w:val="00E643E3"/>
    <w:rsid w:val="00E71FD2"/>
    <w:rsid w:val="00E732A4"/>
    <w:rsid w:val="00E76C6E"/>
    <w:rsid w:val="00EA3E28"/>
    <w:rsid w:val="00EA4CDE"/>
    <w:rsid w:val="00EA64B7"/>
    <w:rsid w:val="00EB7632"/>
    <w:rsid w:val="00EC5BFF"/>
    <w:rsid w:val="00EC714D"/>
    <w:rsid w:val="00EE059F"/>
    <w:rsid w:val="00EE0C10"/>
    <w:rsid w:val="00EF1555"/>
    <w:rsid w:val="00EF3C52"/>
    <w:rsid w:val="00F064BB"/>
    <w:rsid w:val="00F232D3"/>
    <w:rsid w:val="00F25179"/>
    <w:rsid w:val="00F36A04"/>
    <w:rsid w:val="00F4399E"/>
    <w:rsid w:val="00F46A55"/>
    <w:rsid w:val="00F63380"/>
    <w:rsid w:val="00F65EB1"/>
    <w:rsid w:val="00F73612"/>
    <w:rsid w:val="00F838BF"/>
    <w:rsid w:val="00F93B89"/>
    <w:rsid w:val="00F95CC2"/>
    <w:rsid w:val="00F9727C"/>
    <w:rsid w:val="00F97D86"/>
    <w:rsid w:val="00FA742A"/>
    <w:rsid w:val="00FC1F2E"/>
    <w:rsid w:val="00FC5540"/>
    <w:rsid w:val="00FC5BF2"/>
    <w:rsid w:val="00FD3AA7"/>
    <w:rsid w:val="00FD5518"/>
    <w:rsid w:val="00FD6D0C"/>
    <w:rsid w:val="00FD79C2"/>
    <w:rsid w:val="00FE51D6"/>
    <w:rsid w:val="00FE5CC0"/>
    <w:rsid w:val="00FF4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ABDA2C6-02AA-49F7-ADB9-6B19D34A3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EF15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semiHidden/>
    <w:rsid w:val="00B12A15"/>
    <w:rPr>
      <w:sz w:val="20"/>
      <w:szCs w:val="20"/>
    </w:rPr>
  </w:style>
  <w:style w:type="character" w:styleId="Odwoanieprzypisukocowego">
    <w:name w:val="endnote reference"/>
    <w:semiHidden/>
    <w:rsid w:val="00B12A15"/>
    <w:rPr>
      <w:vertAlign w:val="superscript"/>
    </w:rPr>
  </w:style>
  <w:style w:type="paragraph" w:styleId="Akapitzlist">
    <w:name w:val="List Paragraph"/>
    <w:basedOn w:val="Normalny"/>
    <w:uiPriority w:val="34"/>
    <w:qFormat/>
    <w:rsid w:val="005D772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A64B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64B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C3E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3E60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C3E6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3E6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63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2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5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0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2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2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4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6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6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97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28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8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0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2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9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0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2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3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0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1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6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9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3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5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1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6</Pages>
  <Words>1275</Words>
  <Characters>7656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test</Company>
  <LinksUpToDate>false</LinksUpToDate>
  <CharactersWithSpaces>8914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test</dc:creator>
  <cp:keywords/>
  <cp:lastModifiedBy>Joanna Fiedorowicz</cp:lastModifiedBy>
  <cp:revision>4</cp:revision>
  <cp:lastPrinted>2020-12-15T12:31:00Z</cp:lastPrinted>
  <dcterms:created xsi:type="dcterms:W3CDTF">2020-12-09T14:00:00Z</dcterms:created>
  <dcterms:modified xsi:type="dcterms:W3CDTF">2020-12-15T13:13:00Z</dcterms:modified>
</cp:coreProperties>
</file>