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F2" w:rsidRDefault="000A4540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PREZYDENT</w:t>
      </w:r>
    </w:p>
    <w:p w:rsidR="001E59F2" w:rsidRDefault="000A4540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MIASTA  ŁOMŻA</w:t>
      </w:r>
    </w:p>
    <w:p w:rsidR="001E59F2" w:rsidRDefault="000A4540">
      <w:pPr>
        <w:jc w:val="right"/>
      </w:pPr>
      <w:r>
        <w:rPr>
          <w:rFonts w:ascii="Arial" w:hAnsi="Arial"/>
          <w:b/>
          <w:sz w:val="22"/>
          <w:szCs w:val="22"/>
        </w:rPr>
        <w:t xml:space="preserve">     Łomża, 29 stycznia 2018 r.</w:t>
      </w:r>
    </w:p>
    <w:p w:rsidR="001E59F2" w:rsidRDefault="000A4540">
      <w:r>
        <w:rPr>
          <w:rFonts w:ascii="Arial" w:hAnsi="Arial"/>
          <w:b/>
          <w:sz w:val="22"/>
          <w:szCs w:val="22"/>
        </w:rPr>
        <w:t>WGN.6840.3.20.2017</w:t>
      </w:r>
    </w:p>
    <w:p w:rsidR="001E59F2" w:rsidRDefault="000A4540">
      <w:pPr>
        <w:pStyle w:val="Tretekstu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 G Ł O S Z E N I E</w:t>
      </w:r>
    </w:p>
    <w:p w:rsidR="001E59F2" w:rsidRDefault="001E59F2">
      <w:pPr>
        <w:pStyle w:val="Tretekstu"/>
        <w:jc w:val="center"/>
        <w:rPr>
          <w:rFonts w:ascii="Arial" w:hAnsi="Arial"/>
          <w:b/>
          <w:bCs/>
          <w:sz w:val="22"/>
          <w:szCs w:val="22"/>
        </w:rPr>
      </w:pPr>
    </w:p>
    <w:p w:rsidR="001E59F2" w:rsidRDefault="000A4540">
      <w:pPr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podstawie art. 38 ustawy z dnia 21 sierpnia 1997 roku, o gospodarce nieruchomościami (Dz. U. z 2018 r. poz. 121) oraz § 3, § 6, § 13 rozporządzenia Rady Ministrów z dnia 14 września 2004 roku, w sprawie sposobu i trybu przeprowadzania przetargów oraz rokowań na zbycie nieruchomości (Dz. U. z 2014 r. poz. 1490)</w:t>
      </w:r>
      <w:r>
        <w:rPr>
          <w:rFonts w:ascii="Arial" w:hAnsi="Arial" w:cs="Arial"/>
          <w:color w:val="000000"/>
          <w:sz w:val="22"/>
          <w:szCs w:val="22"/>
        </w:rPr>
        <w:t xml:space="preserve"> i uchwały Nr 454/LIII/14 Rady Miejskiej Łomży z dnia 28 maja 2014 r.,</w:t>
      </w:r>
      <w:r>
        <w:rPr>
          <w:rFonts w:ascii="Arial" w:hAnsi="Arial" w:cs="Arial"/>
          <w:sz w:val="22"/>
          <w:szCs w:val="22"/>
        </w:rPr>
        <w:t xml:space="preserve"> w sprawie wyrażenia zgody na sprzedaż, w trybie przetargu, nieruchomości będącej własnością Miasta Łomża, położonej w Łomży, przy ul. </w:t>
      </w:r>
      <w:r>
        <w:rPr>
          <w:rFonts w:ascii="Arial" w:hAnsi="Arial"/>
          <w:sz w:val="22"/>
          <w:szCs w:val="22"/>
        </w:rPr>
        <w:t>Poznańskiej</w:t>
      </w:r>
    </w:p>
    <w:p w:rsidR="001E59F2" w:rsidRDefault="001E59F2">
      <w:pPr>
        <w:jc w:val="both"/>
        <w:rPr>
          <w:rFonts w:ascii="Arial" w:hAnsi="Arial"/>
          <w:sz w:val="22"/>
          <w:szCs w:val="22"/>
        </w:rPr>
      </w:pPr>
    </w:p>
    <w:p w:rsidR="001E59F2" w:rsidRDefault="000A4540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Prezydent  Miasta  Łomża  ogłasza:</w:t>
      </w:r>
    </w:p>
    <w:p w:rsidR="001E59F2" w:rsidRDefault="001E59F2">
      <w:pPr>
        <w:jc w:val="both"/>
        <w:rPr>
          <w:rFonts w:ascii="Arial" w:hAnsi="Arial"/>
          <w:b/>
          <w:bCs/>
          <w:sz w:val="22"/>
          <w:szCs w:val="22"/>
        </w:rPr>
      </w:pPr>
    </w:p>
    <w:p w:rsidR="001E59F2" w:rsidRDefault="000A4540">
      <w:pPr>
        <w:jc w:val="center"/>
      </w:pPr>
      <w:r>
        <w:rPr>
          <w:rFonts w:ascii="Arial" w:hAnsi="Arial"/>
          <w:b/>
          <w:bCs/>
          <w:sz w:val="22"/>
          <w:szCs w:val="22"/>
        </w:rPr>
        <w:t>trzeci przetarg ustny nieograniczony</w:t>
      </w:r>
    </w:p>
    <w:p w:rsidR="001E59F2" w:rsidRDefault="001E59F2">
      <w:pPr>
        <w:jc w:val="both"/>
        <w:rPr>
          <w:rFonts w:ascii="Arial" w:hAnsi="Arial"/>
          <w:sz w:val="22"/>
          <w:szCs w:val="22"/>
        </w:rPr>
      </w:pPr>
    </w:p>
    <w:p w:rsidR="001E59F2" w:rsidRDefault="000A4540">
      <w:pPr>
        <w:ind w:left="284" w:hanging="284"/>
        <w:jc w:val="both"/>
      </w:pPr>
      <w:r>
        <w:rPr>
          <w:rFonts w:ascii="Arial" w:hAnsi="Arial" w:cs="Arial"/>
          <w:sz w:val="22"/>
          <w:szCs w:val="22"/>
        </w:rPr>
        <w:t>1. Przedmiotem przetargu jest sprzedaż nieruchomości, zabudowanej trzema budynkami przeznaczonymi do rozbiórki, stanowiącej własność Miasta Łomża, położonej w Łomży, przy ul. </w:t>
      </w:r>
      <w:r>
        <w:rPr>
          <w:rFonts w:ascii="Arial" w:eastAsia="Arial" w:hAnsi="Arial" w:cs="Times New Roman"/>
          <w:sz w:val="22"/>
          <w:szCs w:val="22"/>
        </w:rPr>
        <w:t>Poznańskiej</w:t>
      </w:r>
      <w:r>
        <w:rPr>
          <w:rFonts w:ascii="Arial" w:hAnsi="Arial" w:cs="Arial"/>
          <w:sz w:val="22"/>
          <w:szCs w:val="22"/>
        </w:rPr>
        <w:t>, posiadającej urządzoną księgę wieczystą nr LM1L/00075468/4:</w:t>
      </w:r>
    </w:p>
    <w:p w:rsidR="001E59F2" w:rsidRDefault="001E59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92" w:type="dxa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1644"/>
        <w:gridCol w:w="2326"/>
        <w:gridCol w:w="2941"/>
        <w:gridCol w:w="2269"/>
      </w:tblGrid>
      <w:tr w:rsidR="001E59F2">
        <w:trPr>
          <w:trHeight w:val="74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Nr działki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Powierzchnia działki</w:t>
            </w:r>
          </w:p>
        </w:tc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Cena wywoławcza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snapToGrid w:val="0"/>
              <w:spacing w:after="29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Wadium</w:t>
            </w:r>
          </w:p>
        </w:tc>
      </w:tr>
      <w:tr w:rsidR="001E59F2">
        <w:trPr>
          <w:trHeight w:val="341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30689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0,1750 ha</w:t>
            </w:r>
          </w:p>
        </w:tc>
        <w:tc>
          <w:tcPr>
            <w:tcW w:w="2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259 623,00 zł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1E59F2" w:rsidRDefault="000A4540">
            <w:pPr>
              <w:pStyle w:val="Zawartotabeli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25 962,30 zł</w:t>
            </w:r>
          </w:p>
        </w:tc>
      </w:tr>
    </w:tbl>
    <w:p w:rsidR="001E59F2" w:rsidRDefault="001E59F2">
      <w:pPr>
        <w:jc w:val="both"/>
        <w:rPr>
          <w:rFonts w:ascii="Arial" w:hAnsi="Arial"/>
          <w:sz w:val="22"/>
          <w:szCs w:val="22"/>
        </w:rPr>
      </w:pPr>
    </w:p>
    <w:p w:rsidR="001E59F2" w:rsidRDefault="000A4540">
      <w:pPr>
        <w:pStyle w:val="Tekstpodstawowy3"/>
        <w:tabs>
          <w:tab w:val="left" w:pos="-285"/>
        </w:tabs>
        <w:ind w:left="284" w:hanging="284"/>
        <w:jc w:val="both"/>
      </w:pPr>
      <w:r>
        <w:rPr>
          <w:sz w:val="22"/>
          <w:szCs w:val="22"/>
        </w:rPr>
        <w:t>2. Działka zlokalizowana jest na obszarze przeznaczonym w miejscowym planie zagospodarowania przestrzennego pod zabudowę mieszkaniową jednorodzinną z dopuszczeniem funkcji usługowej pod warunkiem nie powodowania uciążliwości dla przeznaczenia podstawowego. Warunkiem realizacji nowej zabudowy jest dokonanie rozbiórek istniejących budynków, będących w złym stanie technicznym i kolidujących z docelowym zagospodarowaniem</w:t>
      </w:r>
      <w:r>
        <w:rPr>
          <w:color w:val="000000"/>
          <w:sz w:val="22"/>
          <w:szCs w:val="22"/>
        </w:rPr>
        <w:t>. Część działki oznaczona w planie symbolem RZ – tereny rolnicze bez prawa zabudowy (powierzchnia około 480 m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).</w:t>
      </w:r>
    </w:p>
    <w:p w:rsidR="001E59F2" w:rsidRDefault="000A4540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Przedmiotowa nieruchomość wolna jest od obciążeń i praw osób trzecich i ma dostęp do drogi publicznej.</w:t>
      </w:r>
    </w:p>
    <w:p w:rsidR="001E59F2" w:rsidRDefault="000A4540">
      <w:pPr>
        <w:pStyle w:val="Tekstpodstawowy3"/>
        <w:ind w:left="284" w:hanging="284"/>
        <w:jc w:val="both"/>
      </w:pPr>
      <w:r>
        <w:rPr>
          <w:sz w:val="22"/>
          <w:szCs w:val="22"/>
        </w:rPr>
        <w:t xml:space="preserve">4. Przetarg odbędzie się w siedzibie Urzędu Miejskiego w Łomży, Stary Rynek 14, w sali nr 201A - II piętro, </w:t>
      </w:r>
      <w:r>
        <w:rPr>
          <w:b/>
          <w:bCs/>
          <w:sz w:val="22"/>
          <w:szCs w:val="22"/>
        </w:rPr>
        <w:t xml:space="preserve">o godz. </w:t>
      </w:r>
      <w:r w:rsidRPr="000A4540">
        <w:rPr>
          <w:b/>
          <w:bCs/>
          <w:sz w:val="22"/>
          <w:szCs w:val="22"/>
        </w:rPr>
        <w:t>10</w:t>
      </w:r>
      <w:r w:rsidRPr="000A4540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 dniu 09 marca 2018 roku. </w:t>
      </w:r>
      <w:r>
        <w:rPr>
          <w:sz w:val="22"/>
          <w:szCs w:val="22"/>
        </w:rPr>
        <w:t>Poprzednie przetargi zakończone wynikami negatywnymi odbyły się 04 sierpnia 2017 r. i 17 listopada 2017 r.</w:t>
      </w:r>
    </w:p>
    <w:p w:rsidR="001E59F2" w:rsidRDefault="000A4540">
      <w:pPr>
        <w:pStyle w:val="Tekstpodstawowy3"/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1E59F2" w:rsidRDefault="000A4540">
      <w:pPr>
        <w:pStyle w:val="Tekstpodstawowy3"/>
        <w:tabs>
          <w:tab w:val="left" w:pos="142"/>
          <w:tab w:val="left" w:pos="284"/>
        </w:tabs>
        <w:ind w:left="284" w:hanging="284"/>
        <w:jc w:val="both"/>
      </w:pPr>
      <w:r>
        <w:rPr>
          <w:sz w:val="22"/>
          <w:szCs w:val="22"/>
        </w:rPr>
        <w:t xml:space="preserve">6. Wadium w wysokości 25 962,30 zł uczestnicy przetargu powinni wpłacić najpóźniej </w:t>
      </w:r>
      <w:r>
        <w:rPr>
          <w:b/>
          <w:bCs/>
          <w:sz w:val="22"/>
          <w:szCs w:val="22"/>
        </w:rPr>
        <w:t>do dnia</w:t>
      </w:r>
      <w:r>
        <w:rPr>
          <w:b/>
          <w:bCs/>
          <w:sz w:val="22"/>
          <w:szCs w:val="22"/>
        </w:rPr>
        <w:br/>
        <w:t>06 marca 2018 roku</w:t>
      </w:r>
      <w:r>
        <w:rPr>
          <w:sz w:val="22"/>
          <w:szCs w:val="22"/>
        </w:rPr>
        <w:t xml:space="preserve"> na konto Urzędu Miejskiego w Łomży </w:t>
      </w:r>
      <w:r>
        <w:rPr>
          <w:b/>
          <w:bCs/>
          <w:sz w:val="22"/>
          <w:szCs w:val="22"/>
        </w:rPr>
        <w:t>Nr 71 1560 0013 2294 6771 7000 0014</w:t>
      </w:r>
      <w:r>
        <w:rPr>
          <w:sz w:val="22"/>
          <w:szCs w:val="22"/>
        </w:rPr>
        <w:t xml:space="preserve">, Stary Rynek 14, 18 – 400 Łomża </w:t>
      </w:r>
      <w:r>
        <w:rPr>
          <w:b/>
          <w:bCs/>
          <w:sz w:val="22"/>
          <w:szCs w:val="22"/>
        </w:rPr>
        <w:t>(liczy się data zaksięgowania na koncie).</w:t>
      </w:r>
    </w:p>
    <w:p w:rsidR="001E59F2" w:rsidRDefault="000A4540"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7. Dowodem wniesienia wadium jest potwierdzenie z banku.</w:t>
      </w:r>
    </w:p>
    <w:p w:rsidR="001E59F2" w:rsidRDefault="000A4540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Wadium wpłacone przez uczestnika, który wygrał przetarg zalicza się na poczet ceny nabycia nieruchomości.</w:t>
      </w:r>
    </w:p>
    <w:p w:rsidR="001E59F2" w:rsidRDefault="000A4540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 Osobom, które nie wygrały przetargu wadium zostanie zwrócone niezwłocznie po zamknięciu przetargu.</w:t>
      </w:r>
    </w:p>
    <w:p w:rsidR="001E59F2" w:rsidRDefault="000A4540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 miejscu i terminie zwarcia umowy, Nabywca zostanie zawiadomiony w ciągu 21 dni od dnia rozstrzygnięcia przetargu. W przypadku niestawienia się Nabywcy w miejscu i terminie </w:t>
      </w:r>
      <w:r>
        <w:rPr>
          <w:sz w:val="22"/>
          <w:szCs w:val="22"/>
        </w:rPr>
        <w:lastRenderedPageBreak/>
        <w:t>podanym w zawiadomieniu Prezydent Miasta może odstąpić od zawarcia umowy. W takim przypadku wpłacone wadium nie podlega zwrotowi.</w:t>
      </w:r>
    </w:p>
    <w:p w:rsidR="001E59F2" w:rsidRDefault="000A4540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Koszty sporządzenia umowy notarialnej oraz opłaty sądowe, geodezyjne (wraz usunięciem z działek zanieczyszczeń lub innych rzeczy kolidujących z inwestycją) ponosi Nabywca.</w:t>
      </w:r>
    </w:p>
    <w:p w:rsidR="001E59F2" w:rsidRDefault="000A4540">
      <w:pPr>
        <w:pStyle w:val="Tekstpodstawowy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12. Przetarg będzie ważny bez względu na liczbę uczestników jeżeli przynajmniej jeden uczestnik zaoferuje jedno postąpienie powyżej ceny wywoławczej.</w:t>
      </w:r>
    </w:p>
    <w:p w:rsidR="001E59F2" w:rsidRDefault="001E59F2">
      <w:pPr>
        <w:pStyle w:val="Tekstpodstawowy3"/>
        <w:jc w:val="both"/>
        <w:rPr>
          <w:sz w:val="22"/>
          <w:szCs w:val="22"/>
        </w:rPr>
      </w:pPr>
    </w:p>
    <w:p w:rsidR="001E59F2" w:rsidRDefault="001E59F2">
      <w:pPr>
        <w:pStyle w:val="Tekstpodstawowy3"/>
        <w:jc w:val="both"/>
        <w:rPr>
          <w:sz w:val="22"/>
          <w:szCs w:val="22"/>
        </w:rPr>
      </w:pPr>
    </w:p>
    <w:p w:rsidR="001E59F2" w:rsidRDefault="000A4540">
      <w:pPr>
        <w:pStyle w:val="Tekstpodstawowy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INFORMACJE DODATKOWE :</w:t>
      </w:r>
    </w:p>
    <w:p w:rsidR="001E59F2" w:rsidRDefault="000A4540">
      <w:pPr>
        <w:pStyle w:val="Tekstpodstawowy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a). </w:t>
      </w:r>
      <w:r>
        <w:rPr>
          <w:sz w:val="22"/>
          <w:szCs w:val="22"/>
        </w:rPr>
        <w:t>Uczestnicy przetargu przed przystąpieniem do przetargu składają oświadczenie, że zapoznali się ze stanem prawnym nieruchomości, jej zagospodarowaniem, stanem budynków oraz warunkami przetargu. Nabywca przejmuje nieruchomość w stanie istniejącym.</w:t>
      </w:r>
    </w:p>
    <w:p w:rsidR="001E59F2" w:rsidRDefault="000A4540">
      <w:pPr>
        <w:pStyle w:val="Tekstpodstawowy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b)</w:t>
      </w:r>
      <w:r>
        <w:rPr>
          <w:sz w:val="22"/>
          <w:szCs w:val="22"/>
        </w:rPr>
        <w:t xml:space="preserve"> W przypadku nabycia nieruchomości przez cudzoziemca, w rozumieniu przepisów ustawy o nabywaniu nieruchomości przez cudzoziemców, co do którego wymagane będzie uzyskanie zezwolenia wydawanego w drodze decyzji administracyjnej przez Ministra właściwego do Spraw Wewnętrznych, nie uzyskanie zezwolenia w terminie 3 miesięcy od dnia wyłonienia jako nabywcy, skutkować będzie przepadkiem wpłaconego wadium. </w:t>
      </w:r>
    </w:p>
    <w:p w:rsidR="001E59F2" w:rsidRDefault="000A4540">
      <w:pPr>
        <w:pStyle w:val="Tekstpodstawowy3"/>
        <w:jc w:val="both"/>
      </w:pPr>
      <w:r>
        <w:rPr>
          <w:b/>
          <w:bCs/>
          <w:sz w:val="22"/>
          <w:szCs w:val="22"/>
        </w:rPr>
        <w:t>c)</w:t>
      </w:r>
      <w:r>
        <w:rPr>
          <w:sz w:val="22"/>
          <w:szCs w:val="22"/>
        </w:rPr>
        <w:t xml:space="preserve"> Nabywca przed przystąpieniem do zagospodarowania nieruchomości zobowiązany jest do uzyskania wszelkich zgód i pozwoleń wymaganych przepisami prawa.</w:t>
      </w:r>
    </w:p>
    <w:p w:rsidR="001E59F2" w:rsidRDefault="000A4540">
      <w:pPr>
        <w:pStyle w:val="Tekstpodstawowy3"/>
        <w:jc w:val="both"/>
      </w:pPr>
      <w:r>
        <w:rPr>
          <w:b/>
          <w:bCs/>
          <w:sz w:val="22"/>
          <w:szCs w:val="22"/>
        </w:rPr>
        <w:t>d)</w:t>
      </w:r>
      <w:r>
        <w:rPr>
          <w:bCs/>
          <w:sz w:val="22"/>
          <w:szCs w:val="22"/>
        </w:rPr>
        <w:t xml:space="preserve"> Nabywca nieruchomości będzie zobowiązany wpłacić </w:t>
      </w:r>
      <w:r>
        <w:rPr>
          <w:bCs/>
          <w:sz w:val="22"/>
          <w:szCs w:val="22"/>
          <w:u w:val="single"/>
        </w:rPr>
        <w:t>cenę zbycia nieruchomości</w:t>
      </w:r>
      <w:r>
        <w:rPr>
          <w:bCs/>
          <w:sz w:val="22"/>
          <w:szCs w:val="22"/>
        </w:rPr>
        <w:t xml:space="preserve">, kwotę osiągniętą w przetargu, na konto Urzędu Miejskiego w </w:t>
      </w:r>
      <w:r>
        <w:rPr>
          <w:b/>
          <w:bCs/>
          <w:sz w:val="22"/>
          <w:szCs w:val="22"/>
        </w:rPr>
        <w:t>Łomży  Nr 23 1560 0013 2294 6771 7000 0005</w:t>
      </w:r>
      <w:r>
        <w:rPr>
          <w:bCs/>
          <w:sz w:val="22"/>
          <w:szCs w:val="22"/>
        </w:rPr>
        <w:t>, przed podpisaniem aktu notarialnego.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Dostawa przedmiotowej nieruchomości jest zwolniona z podatku VAT zgodnie z art. 43 ust. 1 pkt 10a ustawy z dnia 11 marca 2004 r. o podatku od towarów i usług (Dz. U z 2017 poz. 1221).</w:t>
      </w:r>
    </w:p>
    <w:p w:rsidR="001E59F2" w:rsidRDefault="000A4540">
      <w:pPr>
        <w:pStyle w:val="Tekstpodstawowy3"/>
        <w:jc w:val="both"/>
      </w:pPr>
      <w:r>
        <w:rPr>
          <w:b/>
          <w:bCs/>
          <w:sz w:val="22"/>
          <w:szCs w:val="22"/>
        </w:rPr>
        <w:t>e)</w:t>
      </w:r>
      <w:r>
        <w:rPr>
          <w:sz w:val="22"/>
          <w:szCs w:val="22"/>
        </w:rPr>
        <w:t xml:space="preserve"> Nabywca pokryje koszty aktu notarialnego w dniu jego zawarcia.</w:t>
      </w:r>
    </w:p>
    <w:p w:rsidR="001E59F2" w:rsidRDefault="000A4540">
      <w:pPr>
        <w:pStyle w:val="Tekstpodstawowy3"/>
        <w:jc w:val="both"/>
      </w:pPr>
      <w:r>
        <w:rPr>
          <w:b/>
          <w:bCs/>
          <w:sz w:val="22"/>
          <w:szCs w:val="22"/>
        </w:rPr>
        <w:t>f)</w:t>
      </w:r>
      <w:r>
        <w:rPr>
          <w:sz w:val="22"/>
          <w:szCs w:val="22"/>
        </w:rPr>
        <w:t xml:space="preserve"> Ogłoszenie zostało wywieszone na tablicy ogłoszeń Urzędu Miejskiego w Łomży oraz opublikowane na stronie </w:t>
      </w:r>
      <w:r>
        <w:rPr>
          <w:b/>
          <w:sz w:val="22"/>
          <w:szCs w:val="22"/>
        </w:rPr>
        <w:t>www.lomza.pl/bip i www.lomza.pl</w:t>
      </w:r>
    </w:p>
    <w:p w:rsidR="001E59F2" w:rsidRDefault="000A4540">
      <w:pPr>
        <w:pStyle w:val="Tekstpodstawowy3"/>
        <w:jc w:val="both"/>
      </w:pPr>
      <w:r>
        <w:rPr>
          <w:b/>
          <w:sz w:val="22"/>
          <w:szCs w:val="22"/>
        </w:rPr>
        <w:t xml:space="preserve">g) </w:t>
      </w:r>
      <w:r>
        <w:rPr>
          <w:sz w:val="22"/>
          <w:szCs w:val="22"/>
        </w:rPr>
        <w:t>Osoby zainteresowane mogą zapoznać się z dodatkowymi informacjami o nieruchomościach i warunkach przetargu w Urzędzie Miejskim w Łomży, Wydział Gospodarowania Nieruchomościami pokój 211, tel. 86 215-68-24.</w:t>
      </w:r>
    </w:p>
    <w:p w:rsidR="001E59F2" w:rsidRDefault="000A4540">
      <w:pPr>
        <w:pStyle w:val="Tekstpodstawowy3"/>
        <w:jc w:val="both"/>
      </w:pPr>
      <w:r>
        <w:rPr>
          <w:b/>
          <w:bCs/>
          <w:sz w:val="22"/>
          <w:szCs w:val="22"/>
        </w:rPr>
        <w:t>h)</w:t>
      </w:r>
      <w:r>
        <w:rPr>
          <w:sz w:val="22"/>
          <w:szCs w:val="22"/>
        </w:rPr>
        <w:t xml:space="preserve"> Prezydent Miasta ma prawo odwołania przetargu z ważnych powodów.</w:t>
      </w:r>
    </w:p>
    <w:p w:rsidR="001E59F2" w:rsidRDefault="001E59F2">
      <w:pPr>
        <w:ind w:left="720"/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1E59F2">
      <w:pPr>
        <w:pStyle w:val="Tretekstu"/>
        <w:tabs>
          <w:tab w:val="left" w:pos="-5040"/>
        </w:tabs>
        <w:autoSpaceDE w:val="0"/>
        <w:spacing w:line="320" w:lineRule="atLeast"/>
        <w:jc w:val="both"/>
        <w:rPr>
          <w:rFonts w:ascii="Arial" w:eastAsia="Arial" w:hAnsi="Arial" w:cs="Arial"/>
          <w:b/>
          <w:i/>
          <w:sz w:val="18"/>
          <w:szCs w:val="18"/>
        </w:rPr>
      </w:pPr>
    </w:p>
    <w:p w:rsidR="001E59F2" w:rsidRDefault="000A4540" w:rsidP="000A4540">
      <w:pPr>
        <w:pStyle w:val="Tretekstu"/>
        <w:tabs>
          <w:tab w:val="left" w:pos="-5040"/>
        </w:tabs>
        <w:autoSpaceDE w:val="0"/>
        <w:spacing w:after="120" w:line="320" w:lineRule="atLeast"/>
        <w:jc w:val="both"/>
      </w:pPr>
      <w:r>
        <w:rPr>
          <w:rFonts w:ascii="Times New Roman;serif" w:eastAsia="Arial" w:hAnsi="Times New Roman;serif" w:cs="Arial"/>
          <w:b/>
          <w:i/>
          <w:sz w:val="20"/>
          <w:szCs w:val="18"/>
        </w:rPr>
        <w:t>Akceptował: Henryka Pezowicz – naczelnik – Wydział Gospodarowania Nieruchomościami – tel. 86 215 68 19</w:t>
      </w:r>
    </w:p>
    <w:p w:rsidR="001E59F2" w:rsidRDefault="000A4540">
      <w:pPr>
        <w:pStyle w:val="Tretekstu"/>
        <w:spacing w:after="0"/>
      </w:pPr>
      <w:r>
        <w:rPr>
          <w:rFonts w:ascii="Times New Roman;serif" w:hAnsi="Times New Roman;serif"/>
          <w:b/>
          <w:sz w:val="20"/>
        </w:rPr>
        <w:t>Opracował/sprawę prowadzi</w:t>
      </w:r>
      <w:r>
        <w:rPr>
          <w:rFonts w:ascii="Times New Roman;serif" w:hAnsi="Times New Roman;serif"/>
          <w:sz w:val="20"/>
        </w:rPr>
        <w:t>: Izabela Kisiel – podinspektor – WGN – tel.86 215 68 24</w:t>
      </w:r>
    </w:p>
    <w:p w:rsidR="001E59F2" w:rsidRDefault="000A4540">
      <w:pPr>
        <w:pStyle w:val="Tretekstu"/>
      </w:pPr>
      <w:r>
        <w:rPr>
          <w:rFonts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59F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FBE"/>
    <w:multiLevelType w:val="multilevel"/>
    <w:tmpl w:val="BC161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511778"/>
    <w:multiLevelType w:val="multilevel"/>
    <w:tmpl w:val="334C3D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F2"/>
    <w:rsid w:val="000A4540"/>
    <w:rsid w:val="000B46A9"/>
    <w:rsid w:val="001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07AC-6997-4FA9-AA84-1A2BFAB9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3">
    <w:name w:val="Body Text 3"/>
    <w:basedOn w:val="Normalny"/>
    <w:qFormat/>
    <w:pPr>
      <w:jc w:val="center"/>
    </w:pPr>
    <w:rPr>
      <w:rFonts w:ascii="Arial" w:eastAsia="Arial" w:hAnsi="Arial" w:cs="Arial"/>
      <w:sz w:val="18"/>
    </w:rPr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10143</Words>
  <Characters>60859</Characters>
  <Application>Microsoft Office Word</Application>
  <DocSecurity>0</DocSecurity>
  <Lines>507</Lines>
  <Paragraphs>141</Paragraphs>
  <ScaleCrop>false</ScaleCrop>
  <Company/>
  <LinksUpToDate>false</LinksUpToDate>
  <CharactersWithSpaces>70861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S.Jablonowski</dc:creator>
  <dc:description/>
  <cp:lastModifiedBy>S.Jablonowski</cp:lastModifiedBy>
  <cp:revision>2</cp:revision>
  <cp:lastPrinted>2018-01-24T11:39:00Z</cp:lastPrinted>
  <dcterms:created xsi:type="dcterms:W3CDTF">2018-01-30T11:19:00Z</dcterms:created>
  <dcterms:modified xsi:type="dcterms:W3CDTF">2018-01-30T11:19:00Z</dcterms:modified>
  <dc:language>pl-PL</dc:language>
</cp:coreProperties>
</file>